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39" w:rsidRDefault="00F67839" w:rsidP="00F67839">
      <w:pPr>
        <w:pStyle w:val="Heading1"/>
      </w:pPr>
      <w:bookmarkStart w:id="0" w:name="_GoBack"/>
      <w:bookmarkEnd w:id="0"/>
      <w:r>
        <w:t xml:space="preserve">Par </w:t>
      </w:r>
      <w:r w:rsidRPr="00F67839">
        <w:t xml:space="preserve">produktu </w:t>
      </w:r>
      <w:r w:rsidR="00F408E2" w:rsidRPr="00F67839">
        <w:t>pārvaldī</w:t>
      </w:r>
      <w:r w:rsidR="00F408E2">
        <w:t xml:space="preserve">bas prasībām </w:t>
      </w:r>
      <w:r w:rsidR="00635CD1">
        <w:t xml:space="preserve">un izplatīšanas jēdzienu </w:t>
      </w:r>
    </w:p>
    <w:p w:rsidR="00635CD1" w:rsidRDefault="00635CD1" w:rsidP="00F67839">
      <w:pPr>
        <w:pStyle w:val="Heading1"/>
      </w:pPr>
    </w:p>
    <w:p w:rsidR="00F67839" w:rsidRDefault="00F67839" w:rsidP="00F67839">
      <w:pPr>
        <w:spacing w:after="0" w:line="240" w:lineRule="auto"/>
        <w:jc w:val="both"/>
        <w:rPr>
          <w:rFonts w:ascii="Times New Roman" w:eastAsia="Times New Roman" w:hAnsi="Times New Roman" w:cs="Times New Roman"/>
          <w:sz w:val="24"/>
          <w:szCs w:val="20"/>
          <w:lang w:val="lv-LV"/>
        </w:rPr>
      </w:pPr>
      <w:r w:rsidRPr="006628B8">
        <w:rPr>
          <w:rFonts w:ascii="Times New Roman" w:eastAsia="Times New Roman" w:hAnsi="Times New Roman" w:cs="Times New Roman"/>
          <w:sz w:val="24"/>
          <w:szCs w:val="20"/>
          <w:lang w:val="lv-LV"/>
        </w:rPr>
        <w:t>Finanšu</w:t>
      </w:r>
      <w:r w:rsidR="00571D38">
        <w:rPr>
          <w:rFonts w:ascii="Times New Roman" w:eastAsia="Times New Roman" w:hAnsi="Times New Roman" w:cs="Times New Roman"/>
          <w:sz w:val="24"/>
          <w:szCs w:val="20"/>
          <w:lang w:val="lv-LV"/>
        </w:rPr>
        <w:t xml:space="preserve"> instrumentu tirgus dalībnieki</w:t>
      </w:r>
      <w:r w:rsidRPr="00034376">
        <w:rPr>
          <w:rFonts w:ascii="Times New Roman" w:eastAsia="Times New Roman" w:hAnsi="Times New Roman" w:cs="Times New Roman"/>
          <w:sz w:val="24"/>
          <w:szCs w:val="20"/>
          <w:lang w:val="lv-LV"/>
        </w:rPr>
        <w:t xml:space="preserve"> savā darbībā</w:t>
      </w:r>
      <w:r w:rsidR="00571D38">
        <w:rPr>
          <w:rFonts w:ascii="Times New Roman" w:eastAsia="Times New Roman" w:hAnsi="Times New Roman" w:cs="Times New Roman"/>
          <w:sz w:val="24"/>
          <w:szCs w:val="20"/>
          <w:lang w:val="lv-LV"/>
        </w:rPr>
        <w:t xml:space="preserve"> </w:t>
      </w:r>
      <w:r w:rsidRPr="00034376">
        <w:rPr>
          <w:rFonts w:ascii="Times New Roman" w:eastAsia="Times New Roman" w:hAnsi="Times New Roman" w:cs="Times New Roman"/>
          <w:sz w:val="24"/>
          <w:szCs w:val="20"/>
          <w:lang w:val="lv-LV"/>
        </w:rPr>
        <w:t>ievēro Finanšu instrumentu tirgus likumu</w:t>
      </w:r>
      <w:r w:rsidR="005C61A7" w:rsidRPr="00034376">
        <w:rPr>
          <w:rFonts w:ascii="Times New Roman" w:eastAsia="Times New Roman" w:hAnsi="Times New Roman" w:cs="Times New Roman"/>
          <w:sz w:val="24"/>
          <w:szCs w:val="20"/>
          <w:lang w:val="lv-LV"/>
        </w:rPr>
        <w:t xml:space="preserve"> (tālāk tekstā – FITL)</w:t>
      </w:r>
      <w:r w:rsidRPr="00034376">
        <w:rPr>
          <w:rFonts w:ascii="Times New Roman" w:eastAsia="Times New Roman" w:hAnsi="Times New Roman" w:cs="Times New Roman"/>
          <w:sz w:val="24"/>
          <w:szCs w:val="20"/>
          <w:lang w:val="lv-LV"/>
        </w:rPr>
        <w:t xml:space="preserve">. Finanšu un kapitāla tirgus komisija (tālāk tekstā – FKTK) vērš uzmanību, ka tai nav tiesību sniegt oficiālu tiesību normu skaidrojumu. </w:t>
      </w:r>
      <w:r w:rsidRPr="00F67839">
        <w:rPr>
          <w:rFonts w:ascii="Times New Roman" w:eastAsia="Times New Roman" w:hAnsi="Times New Roman" w:cs="Times New Roman"/>
          <w:sz w:val="24"/>
          <w:szCs w:val="20"/>
          <w:lang w:val="lv-LV"/>
        </w:rPr>
        <w:t xml:space="preserve">Tomēr, lai finanšu instrumentu tirgus dalībnieki konsekventi piemērotu minēto tiesību aktu Latvijas finanšu sektoram, FKTK pauž savu viedokli, sniedzot atbildes uz finanšu instrumentu tirgus dalībnieku (tālāk tekstā arī – tirgus dalībnieki) biežāk uzdotajiem jautājumiem. Vienlaikus FKTK vērš uzmanību – ja kāds no Eiropas Vērtspapīru un tirgu iestādes turpmāk publiskotajiem paziņojumiem, kurā tiks sniegts skaidrojums par atsevišķu </w:t>
      </w:r>
      <w:r w:rsidR="00632BF2" w:rsidRPr="006E14A7">
        <w:rPr>
          <w:rFonts w:ascii="Times New Roman" w:hAnsi="Times New Roman" w:cs="Times New Roman"/>
          <w:bCs/>
          <w:sz w:val="24"/>
          <w:szCs w:val="24"/>
          <w:shd w:val="clear" w:color="auto" w:fill="FFFFFF"/>
          <w:lang w:val="lv-LV"/>
        </w:rPr>
        <w:t>Finanšu instrumentu tirgus direktīvas</w:t>
      </w:r>
      <w:r w:rsidR="00632BF2" w:rsidRPr="006E14A7">
        <w:rPr>
          <w:rFonts w:ascii="Times New Roman" w:eastAsia="Times New Roman" w:hAnsi="Times New Roman" w:cs="Times New Roman"/>
          <w:sz w:val="24"/>
          <w:szCs w:val="20"/>
          <w:lang w:val="lv-LV"/>
        </w:rPr>
        <w:t xml:space="preserve"> </w:t>
      </w:r>
      <w:r w:rsidR="00632BF2">
        <w:rPr>
          <w:rFonts w:ascii="Times New Roman" w:eastAsia="Times New Roman" w:hAnsi="Times New Roman" w:cs="Times New Roman"/>
          <w:sz w:val="24"/>
          <w:szCs w:val="20"/>
          <w:lang w:val="lv-LV"/>
        </w:rPr>
        <w:t xml:space="preserve">(tālāk tekstā – </w:t>
      </w:r>
      <w:r w:rsidRPr="00F67839">
        <w:rPr>
          <w:rFonts w:ascii="Times New Roman" w:eastAsia="Times New Roman" w:hAnsi="Times New Roman" w:cs="Times New Roman"/>
          <w:sz w:val="24"/>
          <w:szCs w:val="20"/>
          <w:lang w:val="lv-LV"/>
        </w:rPr>
        <w:t>MiFID</w:t>
      </w:r>
      <w:r w:rsidR="00B000F4">
        <w:rPr>
          <w:rFonts w:ascii="Times New Roman" w:eastAsia="Times New Roman" w:hAnsi="Times New Roman" w:cs="Times New Roman"/>
          <w:sz w:val="24"/>
          <w:szCs w:val="20"/>
          <w:lang w:val="lv-LV"/>
        </w:rPr>
        <w:t> </w:t>
      </w:r>
      <w:r w:rsidRPr="00F67839">
        <w:rPr>
          <w:rFonts w:ascii="Times New Roman" w:eastAsia="Times New Roman" w:hAnsi="Times New Roman" w:cs="Times New Roman"/>
          <w:sz w:val="24"/>
          <w:szCs w:val="20"/>
          <w:lang w:val="lv-LV"/>
        </w:rPr>
        <w:t>II</w:t>
      </w:r>
      <w:r w:rsidR="00632BF2">
        <w:rPr>
          <w:rFonts w:ascii="Times New Roman" w:eastAsia="Times New Roman" w:hAnsi="Times New Roman" w:cs="Times New Roman"/>
          <w:sz w:val="24"/>
          <w:szCs w:val="20"/>
          <w:lang w:val="lv-LV"/>
        </w:rPr>
        <w:t>)</w:t>
      </w:r>
      <w:r w:rsidRPr="00F67839">
        <w:rPr>
          <w:rFonts w:ascii="Times New Roman" w:eastAsia="Times New Roman" w:hAnsi="Times New Roman" w:cs="Times New Roman"/>
          <w:sz w:val="24"/>
          <w:szCs w:val="20"/>
          <w:lang w:val="lv-LV"/>
        </w:rPr>
        <w:t xml:space="preserve"> regulējuma prasību piemērošanu, būs citādāks nekā FKTK tālāk paustais viedoklis, arī FKTK viedoklis tiks mainīts atbilstoši tam, kāda būs kopējā pieeja Eiropas Savienības dalībvalstīs attiecīgajā MiFID</w:t>
      </w:r>
      <w:r w:rsidR="007613CD">
        <w:rPr>
          <w:rFonts w:ascii="Times New Roman" w:eastAsia="Times New Roman" w:hAnsi="Times New Roman" w:cs="Times New Roman"/>
          <w:sz w:val="24"/>
          <w:szCs w:val="20"/>
          <w:lang w:val="lv-LV"/>
        </w:rPr>
        <w:t> </w:t>
      </w:r>
      <w:r w:rsidRPr="00F67839">
        <w:rPr>
          <w:rFonts w:ascii="Times New Roman" w:eastAsia="Times New Roman" w:hAnsi="Times New Roman" w:cs="Times New Roman"/>
          <w:sz w:val="24"/>
          <w:szCs w:val="20"/>
          <w:lang w:val="lv-LV"/>
        </w:rPr>
        <w:t>II regulējuma piemērošanas jautājumā.</w:t>
      </w:r>
    </w:p>
    <w:p w:rsidR="006628B8" w:rsidRPr="00F67839" w:rsidRDefault="006628B8" w:rsidP="00F67839">
      <w:pPr>
        <w:spacing w:after="0" w:line="240" w:lineRule="auto"/>
        <w:jc w:val="both"/>
        <w:rPr>
          <w:rFonts w:ascii="Times New Roman" w:eastAsia="Times New Roman" w:hAnsi="Times New Roman" w:cs="Times New Roman"/>
          <w:sz w:val="24"/>
          <w:szCs w:val="20"/>
          <w:lang w:val="lv-LV"/>
        </w:rPr>
      </w:pPr>
    </w:p>
    <w:p w:rsidR="007C35D6" w:rsidRDefault="007C35D6" w:rsidP="007C35D6">
      <w:pPr>
        <w:spacing w:after="0" w:line="240" w:lineRule="auto"/>
        <w:jc w:val="both"/>
        <w:rPr>
          <w:rFonts w:ascii="Times New Roman" w:hAnsi="Times New Roman" w:cs="Times New Roman"/>
          <w:sz w:val="24"/>
          <w:szCs w:val="24"/>
          <w:lang w:val="lv-LV"/>
        </w:rPr>
      </w:pPr>
    </w:p>
    <w:p w:rsidR="00977966" w:rsidRPr="00334E0B" w:rsidRDefault="00635CD1" w:rsidP="00977966">
      <w:pPr>
        <w:spacing w:after="0" w:line="240" w:lineRule="auto"/>
        <w:jc w:val="both"/>
        <w:rPr>
          <w:rFonts w:ascii="Times New Roman" w:eastAsia="Times New Roman" w:hAnsi="Times New Roman" w:cs="Times New Roman"/>
          <w:b/>
          <w:sz w:val="24"/>
          <w:szCs w:val="20"/>
          <w:lang w:val="lv-LV"/>
        </w:rPr>
      </w:pPr>
      <w:r>
        <w:rPr>
          <w:rFonts w:ascii="Times New Roman" w:eastAsia="Times New Roman" w:hAnsi="Times New Roman" w:cs="Times New Roman"/>
          <w:b/>
          <w:sz w:val="24"/>
          <w:szCs w:val="20"/>
          <w:u w:val="single"/>
          <w:lang w:val="lv-LV"/>
        </w:rPr>
        <w:t>1</w:t>
      </w:r>
      <w:r w:rsidR="00977966" w:rsidRPr="007C35D6">
        <w:rPr>
          <w:rFonts w:ascii="Times New Roman" w:eastAsia="Times New Roman" w:hAnsi="Times New Roman" w:cs="Times New Roman"/>
          <w:b/>
          <w:sz w:val="24"/>
          <w:szCs w:val="20"/>
          <w:u w:val="single"/>
          <w:lang w:val="lv-LV"/>
        </w:rPr>
        <w:t xml:space="preserve">. </w:t>
      </w:r>
      <w:r w:rsidR="00B000F4">
        <w:rPr>
          <w:rFonts w:ascii="Times New Roman" w:eastAsia="Times New Roman" w:hAnsi="Times New Roman" w:cs="Times New Roman"/>
          <w:b/>
          <w:sz w:val="24"/>
          <w:szCs w:val="20"/>
          <w:u w:val="single"/>
          <w:lang w:val="lv-LV"/>
        </w:rPr>
        <w:t>j</w:t>
      </w:r>
      <w:r w:rsidR="00977966" w:rsidRPr="007C35D6">
        <w:rPr>
          <w:rFonts w:ascii="Times New Roman" w:eastAsia="Times New Roman" w:hAnsi="Times New Roman" w:cs="Times New Roman"/>
          <w:b/>
          <w:sz w:val="24"/>
          <w:szCs w:val="20"/>
          <w:u w:val="single"/>
          <w:lang w:val="lv-LV"/>
        </w:rPr>
        <w:t>autājums:</w:t>
      </w:r>
      <w:r w:rsidR="00977966" w:rsidRPr="00334E0B">
        <w:rPr>
          <w:rFonts w:ascii="Times New Roman" w:eastAsia="Times New Roman" w:hAnsi="Times New Roman" w:cs="Times New Roman"/>
          <w:b/>
          <w:sz w:val="24"/>
          <w:szCs w:val="20"/>
          <w:lang w:val="lv-LV"/>
        </w:rPr>
        <w:t xml:space="preserve"> Vai FITL 133.</w:t>
      </w:r>
      <w:r w:rsidR="00977966" w:rsidRPr="00B466EF">
        <w:rPr>
          <w:rFonts w:ascii="Times New Roman" w:eastAsia="Times New Roman" w:hAnsi="Times New Roman" w:cs="Times New Roman"/>
          <w:b/>
          <w:sz w:val="24"/>
          <w:szCs w:val="20"/>
          <w:vertAlign w:val="superscript"/>
          <w:lang w:val="lv-LV"/>
        </w:rPr>
        <w:t>16</w:t>
      </w:r>
      <w:r w:rsidR="00977966" w:rsidRPr="00334E0B">
        <w:rPr>
          <w:rFonts w:ascii="Times New Roman" w:eastAsia="Times New Roman" w:hAnsi="Times New Roman" w:cs="Times New Roman"/>
          <w:b/>
          <w:sz w:val="24"/>
          <w:szCs w:val="20"/>
          <w:lang w:val="lv-LV"/>
        </w:rPr>
        <w:t xml:space="preserve"> un 133.</w:t>
      </w:r>
      <w:r w:rsidR="00977966" w:rsidRPr="00B466EF">
        <w:rPr>
          <w:rFonts w:ascii="Times New Roman" w:eastAsia="Times New Roman" w:hAnsi="Times New Roman" w:cs="Times New Roman"/>
          <w:b/>
          <w:sz w:val="24"/>
          <w:szCs w:val="20"/>
          <w:vertAlign w:val="superscript"/>
          <w:lang w:val="lv-LV"/>
        </w:rPr>
        <w:t>17</w:t>
      </w:r>
      <w:r w:rsidR="00977966" w:rsidRPr="00334E0B">
        <w:rPr>
          <w:rFonts w:ascii="Times New Roman" w:eastAsia="Times New Roman" w:hAnsi="Times New Roman" w:cs="Times New Roman"/>
          <w:b/>
          <w:sz w:val="24"/>
          <w:szCs w:val="20"/>
          <w:lang w:val="lv-LV"/>
        </w:rPr>
        <w:t xml:space="preserve"> panta produktu pārvaldības prasības ir attiecināmas uz </w:t>
      </w:r>
      <w:r w:rsidR="00977966" w:rsidRPr="00334E0B">
        <w:rPr>
          <w:rFonts w:ascii="Times New Roman" w:eastAsia="Times New Roman" w:hAnsi="Times New Roman" w:cs="Times New Roman"/>
          <w:b/>
          <w:i/>
          <w:sz w:val="24"/>
          <w:szCs w:val="20"/>
          <w:lang w:val="lv-LV"/>
        </w:rPr>
        <w:t>execution only</w:t>
      </w:r>
      <w:r w:rsidR="00977966" w:rsidRPr="00334E0B">
        <w:rPr>
          <w:rFonts w:ascii="Times New Roman" w:eastAsia="Times New Roman" w:hAnsi="Times New Roman" w:cs="Times New Roman"/>
          <w:b/>
          <w:sz w:val="24"/>
          <w:szCs w:val="20"/>
          <w:lang w:val="lv-LV"/>
        </w:rPr>
        <w:t xml:space="preserve"> režīmā sniegtajiem ieguldījumu pakalpojumiem? </w:t>
      </w:r>
      <w:r w:rsidR="00977966" w:rsidRPr="00334E0B">
        <w:rPr>
          <w:rFonts w:ascii="Times New Roman" w:eastAsia="Times New Roman" w:hAnsi="Times New Roman" w:cs="Times New Roman"/>
          <w:sz w:val="24"/>
          <w:szCs w:val="20"/>
          <w:lang w:val="lv-LV"/>
        </w:rPr>
        <w:t xml:space="preserve">Piemēram, ja iestāde tikai nodrošina klientam pēc tā iniciatīvas iespēju iegādāties </w:t>
      </w:r>
      <w:r w:rsidR="004C5A68">
        <w:rPr>
          <w:rFonts w:ascii="Times New Roman" w:eastAsia="Times New Roman" w:hAnsi="Times New Roman" w:cs="Times New Roman"/>
          <w:sz w:val="24"/>
          <w:szCs w:val="20"/>
          <w:lang w:val="lv-LV"/>
        </w:rPr>
        <w:t>finanšu instrumentus (tālāk tekstā – FI)</w:t>
      </w:r>
      <w:r w:rsidR="004C5A68" w:rsidRPr="00334E0B">
        <w:rPr>
          <w:rFonts w:ascii="Times New Roman" w:eastAsia="Times New Roman" w:hAnsi="Times New Roman" w:cs="Times New Roman"/>
          <w:sz w:val="24"/>
          <w:szCs w:val="20"/>
          <w:lang w:val="lv-LV"/>
        </w:rPr>
        <w:t xml:space="preserve"> </w:t>
      </w:r>
      <w:r w:rsidR="00977966" w:rsidRPr="00334E0B">
        <w:rPr>
          <w:rFonts w:ascii="Times New Roman" w:eastAsia="Times New Roman" w:hAnsi="Times New Roman" w:cs="Times New Roman"/>
          <w:sz w:val="24"/>
          <w:szCs w:val="20"/>
          <w:lang w:val="lv-LV"/>
        </w:rPr>
        <w:t xml:space="preserve">(un iestāde </w:t>
      </w:r>
      <w:r w:rsidR="00977966">
        <w:rPr>
          <w:rFonts w:ascii="Times New Roman" w:eastAsia="Times New Roman" w:hAnsi="Times New Roman" w:cs="Times New Roman"/>
          <w:sz w:val="24"/>
          <w:szCs w:val="20"/>
          <w:lang w:val="lv-LV"/>
        </w:rPr>
        <w:t xml:space="preserve">aktīvi neveicina </w:t>
      </w:r>
      <w:r w:rsidR="00977966" w:rsidRPr="00334E0B">
        <w:rPr>
          <w:rFonts w:ascii="Times New Roman" w:eastAsia="Times New Roman" w:hAnsi="Times New Roman" w:cs="Times New Roman"/>
          <w:sz w:val="24"/>
          <w:szCs w:val="20"/>
          <w:lang w:val="lv-LV"/>
        </w:rPr>
        <w:t xml:space="preserve">šo FI </w:t>
      </w:r>
      <w:r w:rsidR="00977966">
        <w:rPr>
          <w:rFonts w:ascii="Times New Roman" w:eastAsia="Times New Roman" w:hAnsi="Times New Roman" w:cs="Times New Roman"/>
          <w:sz w:val="24"/>
          <w:szCs w:val="20"/>
          <w:lang w:val="lv-LV"/>
        </w:rPr>
        <w:t>pārdošanu</w:t>
      </w:r>
      <w:r w:rsidR="00977966" w:rsidRPr="00334E0B">
        <w:rPr>
          <w:rFonts w:ascii="Times New Roman" w:eastAsia="Times New Roman" w:hAnsi="Times New Roman" w:cs="Times New Roman"/>
          <w:sz w:val="24"/>
          <w:szCs w:val="20"/>
          <w:lang w:val="lv-LV"/>
        </w:rPr>
        <w:t>), vai iestādei ir pienākums pārskatīt klientiem pieejamo FI klāstu atbilstoši FI izstrādātāja produktu pārvaldības prasībām, piemēram, liedzot privātiem klientiem iespēju iegādāties noteiktus FI?</w:t>
      </w:r>
    </w:p>
    <w:p w:rsidR="00977966" w:rsidRDefault="00977966" w:rsidP="00977966">
      <w:pPr>
        <w:spacing w:after="0" w:line="240" w:lineRule="auto"/>
        <w:jc w:val="both"/>
        <w:rPr>
          <w:rFonts w:ascii="Times New Roman" w:eastAsia="Times New Roman" w:hAnsi="Times New Roman" w:cs="Times New Roman"/>
          <w:b/>
          <w:sz w:val="24"/>
          <w:szCs w:val="20"/>
          <w:u w:val="single"/>
          <w:lang w:val="lv-LV"/>
        </w:rPr>
      </w:pPr>
    </w:p>
    <w:p w:rsidR="00977966" w:rsidRPr="00334E0B" w:rsidRDefault="00977966" w:rsidP="00977966">
      <w:pPr>
        <w:spacing w:after="0" w:line="240" w:lineRule="auto"/>
        <w:jc w:val="both"/>
        <w:rPr>
          <w:rFonts w:ascii="Times New Roman" w:hAnsi="Times New Roman" w:cs="Times New Roman"/>
          <w:sz w:val="24"/>
          <w:szCs w:val="24"/>
          <w:lang w:val="lv-LV"/>
        </w:rPr>
      </w:pPr>
      <w:r w:rsidRPr="006628B8">
        <w:rPr>
          <w:rFonts w:ascii="Times New Roman" w:eastAsia="Times New Roman" w:hAnsi="Times New Roman" w:cs="Times New Roman"/>
          <w:b/>
          <w:sz w:val="24"/>
          <w:szCs w:val="20"/>
          <w:u w:val="single"/>
          <w:lang w:val="lv-LV"/>
        </w:rPr>
        <w:t>Atbilde:</w:t>
      </w:r>
      <w:r w:rsidRPr="007C62A5">
        <w:rPr>
          <w:lang w:val="lv-LV"/>
        </w:rPr>
        <w:t xml:space="preserve"> </w:t>
      </w:r>
      <w:r w:rsidRPr="00334E0B">
        <w:rPr>
          <w:rFonts w:ascii="Times New Roman" w:hAnsi="Times New Roman" w:cs="Times New Roman"/>
          <w:sz w:val="24"/>
          <w:szCs w:val="24"/>
          <w:lang w:val="lv-LV"/>
        </w:rPr>
        <w:t xml:space="preserve">Produktu pārvaldības prasības neparedz izņēmumus attiecībā uz </w:t>
      </w:r>
      <w:r w:rsidRPr="00334E0B">
        <w:rPr>
          <w:rFonts w:ascii="Times New Roman" w:hAnsi="Times New Roman" w:cs="Times New Roman"/>
          <w:i/>
          <w:sz w:val="24"/>
          <w:szCs w:val="24"/>
          <w:lang w:val="lv-LV"/>
        </w:rPr>
        <w:t>execution only</w:t>
      </w:r>
      <w:r w:rsidRPr="00334E0B">
        <w:rPr>
          <w:rFonts w:ascii="Times New Roman" w:hAnsi="Times New Roman" w:cs="Times New Roman"/>
          <w:sz w:val="24"/>
          <w:szCs w:val="24"/>
          <w:lang w:val="lv-LV"/>
        </w:rPr>
        <w:t xml:space="preserve"> režīmā (piemērojot FITL 126.</w:t>
      </w:r>
      <w:r w:rsidRPr="00872F19">
        <w:rPr>
          <w:rFonts w:ascii="Times New Roman" w:hAnsi="Times New Roman" w:cs="Times New Roman"/>
          <w:sz w:val="24"/>
          <w:szCs w:val="24"/>
          <w:vertAlign w:val="superscript"/>
          <w:lang w:val="lv-LV"/>
        </w:rPr>
        <w:t>2</w:t>
      </w:r>
      <w:r w:rsidRPr="00334E0B">
        <w:rPr>
          <w:rFonts w:ascii="Times New Roman" w:hAnsi="Times New Roman" w:cs="Times New Roman"/>
          <w:sz w:val="24"/>
          <w:szCs w:val="24"/>
          <w:lang w:val="lv-LV"/>
        </w:rPr>
        <w:t xml:space="preserve"> panta divpadsmito daļu) sniegtajiem ieguldījumu pakalpojumiem, bet ir jāievēro samērīguma princips. </w:t>
      </w:r>
    </w:p>
    <w:p w:rsidR="00977966" w:rsidRPr="00334E0B" w:rsidRDefault="00977966" w:rsidP="00977966">
      <w:pPr>
        <w:spacing w:after="0" w:line="240" w:lineRule="auto"/>
        <w:jc w:val="both"/>
        <w:rPr>
          <w:rFonts w:ascii="Times New Roman" w:hAnsi="Times New Roman" w:cs="Times New Roman"/>
          <w:sz w:val="24"/>
          <w:szCs w:val="24"/>
          <w:lang w:val="lv-LV"/>
        </w:rPr>
      </w:pPr>
    </w:p>
    <w:p w:rsidR="00977966" w:rsidRPr="00334E0B" w:rsidRDefault="00977966" w:rsidP="00977966">
      <w:pPr>
        <w:spacing w:after="0" w:line="240" w:lineRule="auto"/>
        <w:jc w:val="both"/>
        <w:rPr>
          <w:rFonts w:ascii="Times New Roman" w:hAnsi="Times New Roman" w:cs="Times New Roman"/>
          <w:sz w:val="24"/>
          <w:szCs w:val="24"/>
          <w:lang w:val="lv-LV"/>
        </w:rPr>
      </w:pPr>
      <w:r w:rsidRPr="00334E0B">
        <w:rPr>
          <w:rFonts w:ascii="Times New Roman" w:hAnsi="Times New Roman" w:cs="Times New Roman"/>
          <w:sz w:val="24"/>
          <w:szCs w:val="24"/>
          <w:lang w:val="lv-LV"/>
        </w:rPr>
        <w:t xml:space="preserve">FKTK vērš uzmanību, ka atbilstoši </w:t>
      </w:r>
      <w:r>
        <w:rPr>
          <w:rFonts w:ascii="Times New Roman" w:hAnsi="Times New Roman" w:cs="Times New Roman"/>
          <w:sz w:val="24"/>
          <w:szCs w:val="24"/>
          <w:lang w:val="lv-LV"/>
        </w:rPr>
        <w:t>FITL 133.</w:t>
      </w:r>
      <w:r w:rsidRPr="00872F19">
        <w:rPr>
          <w:rFonts w:ascii="Times New Roman" w:hAnsi="Times New Roman" w:cs="Times New Roman"/>
          <w:sz w:val="24"/>
          <w:szCs w:val="24"/>
          <w:vertAlign w:val="superscript"/>
          <w:lang w:val="lv-LV"/>
        </w:rPr>
        <w:t>16</w:t>
      </w:r>
      <w:r>
        <w:rPr>
          <w:rFonts w:ascii="Times New Roman" w:hAnsi="Times New Roman" w:cs="Times New Roman"/>
          <w:sz w:val="24"/>
          <w:szCs w:val="24"/>
          <w:lang w:val="lv-LV"/>
        </w:rPr>
        <w:t xml:space="preserve"> panta devīt</w:t>
      </w:r>
      <w:r w:rsidR="0058304A">
        <w:rPr>
          <w:rFonts w:ascii="Times New Roman" w:hAnsi="Times New Roman" w:cs="Times New Roman"/>
          <w:sz w:val="24"/>
          <w:szCs w:val="24"/>
          <w:lang w:val="lv-LV"/>
        </w:rPr>
        <w:t>ajai</w:t>
      </w:r>
      <w:r>
        <w:rPr>
          <w:rFonts w:ascii="Times New Roman" w:hAnsi="Times New Roman" w:cs="Times New Roman"/>
          <w:sz w:val="24"/>
          <w:szCs w:val="24"/>
          <w:lang w:val="lv-LV"/>
        </w:rPr>
        <w:t xml:space="preserve"> daļai </w:t>
      </w:r>
      <w:r w:rsidRPr="00334E0B">
        <w:rPr>
          <w:rFonts w:ascii="Times New Roman" w:hAnsi="Times New Roman" w:cs="Times New Roman"/>
          <w:sz w:val="24"/>
          <w:szCs w:val="24"/>
          <w:lang w:val="lv-LV"/>
        </w:rPr>
        <w:t xml:space="preserve">iestādēm, kas izstrādā FI, kurus izplata ar citu iestāžu starpniecību, jānosaka to klientu vajadzības un īpatnības, kuriem šis produkts atbilst, pamatojoties uz savām teorētiskajām zināšanām un pagātnes pieredzi ar FI vai līdzīgiem FI, finanšu tirgiem un iespējamo gala klientu vajadzībām, īpatnībām un mērķiem arī attiecībā uz </w:t>
      </w:r>
      <w:r w:rsidRPr="00334E0B">
        <w:rPr>
          <w:rFonts w:ascii="Times New Roman" w:hAnsi="Times New Roman" w:cs="Times New Roman"/>
          <w:i/>
          <w:sz w:val="24"/>
          <w:szCs w:val="24"/>
          <w:lang w:val="lv-LV"/>
        </w:rPr>
        <w:t>execution only</w:t>
      </w:r>
      <w:r w:rsidRPr="00334E0B">
        <w:rPr>
          <w:rFonts w:ascii="Times New Roman" w:hAnsi="Times New Roman" w:cs="Times New Roman"/>
          <w:sz w:val="24"/>
          <w:szCs w:val="24"/>
          <w:lang w:val="lv-LV"/>
        </w:rPr>
        <w:t xml:space="preserve"> režīmā sniegtajiem ieguldījumu pakalpojumiem. </w:t>
      </w:r>
      <w:r>
        <w:rPr>
          <w:rFonts w:ascii="Times New Roman" w:hAnsi="Times New Roman" w:cs="Times New Roman"/>
          <w:sz w:val="24"/>
          <w:szCs w:val="24"/>
          <w:lang w:val="lv-LV"/>
        </w:rPr>
        <w:t>FITL 133.</w:t>
      </w:r>
      <w:r w:rsidRPr="00C10C23">
        <w:rPr>
          <w:rFonts w:ascii="Times New Roman" w:hAnsi="Times New Roman" w:cs="Times New Roman"/>
          <w:sz w:val="24"/>
          <w:szCs w:val="24"/>
          <w:vertAlign w:val="superscript"/>
          <w:lang w:val="lv-LV"/>
        </w:rPr>
        <w:t>16</w:t>
      </w:r>
      <w:r>
        <w:rPr>
          <w:rFonts w:ascii="Times New Roman" w:hAnsi="Times New Roman" w:cs="Times New Roman"/>
          <w:sz w:val="24"/>
          <w:szCs w:val="24"/>
          <w:lang w:val="lv-LV"/>
        </w:rPr>
        <w:t xml:space="preserve"> panta trīspadsmitā daļa</w:t>
      </w:r>
      <w:r w:rsidRPr="00334E0B">
        <w:rPr>
          <w:rFonts w:ascii="Times New Roman" w:hAnsi="Times New Roman" w:cs="Times New Roman"/>
          <w:sz w:val="24"/>
          <w:szCs w:val="24"/>
          <w:lang w:val="lv-LV"/>
        </w:rPr>
        <w:t xml:space="preserve"> paredz iestādei – produktu izstrādātājai – pienākumu nodrošināt, ka, sniedzot izplatītājiem informāciju par FI, tiek ietverta informācija par atbilstošajiem FI izplatīšanas kanāliem, produktu apstiprināšanas procesu un mērķtirgus novērtējumu un </w:t>
      </w:r>
      <w:r w:rsidR="00C53212">
        <w:rPr>
          <w:rFonts w:ascii="Times New Roman" w:hAnsi="Times New Roman" w:cs="Times New Roman"/>
          <w:sz w:val="24"/>
          <w:szCs w:val="24"/>
          <w:lang w:val="lv-LV"/>
        </w:rPr>
        <w:t xml:space="preserve">ka </w:t>
      </w:r>
      <w:r w:rsidRPr="00334E0B">
        <w:rPr>
          <w:rFonts w:ascii="Times New Roman" w:hAnsi="Times New Roman" w:cs="Times New Roman"/>
          <w:sz w:val="24"/>
          <w:szCs w:val="24"/>
          <w:lang w:val="lv-LV"/>
        </w:rPr>
        <w:t xml:space="preserve">informācija atbilst attiecīgiem standartiem, lai izplatītāji varētu pareizi saprast un ieteikt vai pārdot FI. </w:t>
      </w:r>
      <w:r>
        <w:rPr>
          <w:rFonts w:ascii="Times New Roman" w:hAnsi="Times New Roman" w:cs="Times New Roman"/>
          <w:sz w:val="24"/>
          <w:szCs w:val="24"/>
          <w:lang w:val="lv-LV"/>
        </w:rPr>
        <w:t>FITL 133.</w:t>
      </w:r>
      <w:r w:rsidRPr="00C10C23">
        <w:rPr>
          <w:rFonts w:ascii="Times New Roman" w:hAnsi="Times New Roman" w:cs="Times New Roman"/>
          <w:sz w:val="24"/>
          <w:szCs w:val="24"/>
          <w:vertAlign w:val="superscript"/>
          <w:lang w:val="lv-LV"/>
        </w:rPr>
        <w:t>1</w:t>
      </w:r>
      <w:r>
        <w:rPr>
          <w:rFonts w:ascii="Times New Roman" w:hAnsi="Times New Roman" w:cs="Times New Roman"/>
          <w:sz w:val="24"/>
          <w:szCs w:val="24"/>
          <w:vertAlign w:val="superscript"/>
          <w:lang w:val="lv-LV"/>
        </w:rPr>
        <w:t>7</w:t>
      </w:r>
      <w:r w:rsidR="0058304A">
        <w:rPr>
          <w:rFonts w:ascii="Times New Roman" w:hAnsi="Times New Roman" w:cs="Times New Roman"/>
          <w:sz w:val="24"/>
          <w:szCs w:val="24"/>
          <w:lang w:val="lv-LV"/>
        </w:rPr>
        <w:t> </w:t>
      </w:r>
      <w:r>
        <w:rPr>
          <w:rFonts w:ascii="Times New Roman" w:hAnsi="Times New Roman" w:cs="Times New Roman"/>
          <w:sz w:val="24"/>
          <w:szCs w:val="24"/>
          <w:lang w:val="lv-LV"/>
        </w:rPr>
        <w:t xml:space="preserve">panta otrā daļa </w:t>
      </w:r>
      <w:r w:rsidRPr="00334E0B">
        <w:rPr>
          <w:rFonts w:ascii="Times New Roman" w:hAnsi="Times New Roman" w:cs="Times New Roman"/>
          <w:sz w:val="24"/>
          <w:szCs w:val="24"/>
          <w:lang w:val="lv-LV"/>
        </w:rPr>
        <w:t xml:space="preserve">paredz iestādei – produkta izplatītājai – pienākumu ieviest atbilstošu produktu pārvaldības kārtību, lai nodrošinātu, ka produkti un pakalpojumi, ko tā plāno piedāvāt vai ieteikt, atbilst apzināta mērķtirgus īpatnībām, mērķiem un vajadzībām un ka paredzētā izplatīšanas stratēģija atbilst apzinātajam mērķtirgum. </w:t>
      </w:r>
      <w:r w:rsidRPr="00334E0B">
        <w:rPr>
          <w:rFonts w:ascii="Times New Roman" w:hAnsi="Times New Roman" w:cs="Times New Roman"/>
          <w:i/>
          <w:sz w:val="24"/>
          <w:szCs w:val="24"/>
          <w:lang w:val="lv-LV"/>
        </w:rPr>
        <w:t>Execution only</w:t>
      </w:r>
      <w:r w:rsidRPr="00334E0B">
        <w:rPr>
          <w:rFonts w:ascii="Times New Roman" w:hAnsi="Times New Roman" w:cs="Times New Roman"/>
          <w:sz w:val="24"/>
          <w:szCs w:val="24"/>
          <w:lang w:val="lv-LV"/>
        </w:rPr>
        <w:t xml:space="preserve"> režīms ir viena no izplatīšanas stratēģijām, kas jāņem vērā gan produktu izstrādātājam, gan produktu izplatītājam.  </w:t>
      </w:r>
    </w:p>
    <w:p w:rsidR="0030777A" w:rsidRDefault="0030777A" w:rsidP="0030777A">
      <w:pPr>
        <w:spacing w:after="0" w:line="240" w:lineRule="auto"/>
        <w:jc w:val="both"/>
        <w:rPr>
          <w:rFonts w:ascii="Times New Roman" w:hAnsi="Times New Roman" w:cs="Times New Roman"/>
          <w:sz w:val="24"/>
          <w:szCs w:val="24"/>
          <w:lang w:val="lv-LV"/>
        </w:rPr>
      </w:pPr>
    </w:p>
    <w:p w:rsidR="0030777A" w:rsidRPr="00334E0B" w:rsidRDefault="0030777A" w:rsidP="0030777A">
      <w:pPr>
        <w:spacing w:after="0" w:line="240" w:lineRule="auto"/>
        <w:jc w:val="both"/>
        <w:rPr>
          <w:rFonts w:ascii="Times New Roman" w:hAnsi="Times New Roman" w:cs="Times New Roman"/>
          <w:sz w:val="24"/>
          <w:szCs w:val="24"/>
          <w:lang w:val="lv-LV"/>
        </w:rPr>
      </w:pPr>
      <w:r w:rsidRPr="00334E0B">
        <w:rPr>
          <w:rFonts w:ascii="Times New Roman" w:hAnsi="Times New Roman" w:cs="Times New Roman"/>
          <w:sz w:val="24"/>
          <w:szCs w:val="24"/>
          <w:lang w:val="lv-LV"/>
        </w:rPr>
        <w:t>Vienlaikus norādām, ka atbilstoši</w:t>
      </w:r>
      <w:r w:rsidRPr="00B91724">
        <w:rPr>
          <w:lang w:val="lv-LV"/>
        </w:rPr>
        <w:t xml:space="preserve"> </w:t>
      </w:r>
      <w:r w:rsidRPr="00B91724">
        <w:rPr>
          <w:rFonts w:ascii="Times New Roman" w:hAnsi="Times New Roman" w:cs="Times New Roman"/>
          <w:sz w:val="24"/>
          <w:szCs w:val="24"/>
          <w:lang w:val="lv-LV"/>
        </w:rPr>
        <w:t xml:space="preserve">Komisijas 2016. gada 7. aprīļa Deleģētās direktīvas (ES) 2017/593, ar ko attiecībā uz finanšu instrumentu un klientiem piederošu līdzekļu aizsardzību, produktu pārvaldības prasībām un noteikumiem, kurus piemēro maksu, komisijas naudas vai jebkādu finansiālu vai nefinansiālu labumu sniegšanai vai saņemšanai, papildina Eiropas Parlamenta un Padomes Direktīvu 2014/65/ES, (turpmāk </w:t>
      </w:r>
      <w:r>
        <w:rPr>
          <w:rFonts w:ascii="Times New Roman" w:hAnsi="Times New Roman" w:cs="Times New Roman"/>
          <w:sz w:val="24"/>
          <w:szCs w:val="24"/>
          <w:lang w:val="lv-LV"/>
        </w:rPr>
        <w:t>–</w:t>
      </w:r>
      <w:r>
        <w:rPr>
          <w:lang w:val="lv-LV"/>
        </w:rPr>
        <w:t xml:space="preserve"> </w:t>
      </w:r>
      <w:r>
        <w:rPr>
          <w:rFonts w:ascii="Times New Roman" w:hAnsi="Times New Roman" w:cs="Times New Roman"/>
          <w:sz w:val="24"/>
          <w:szCs w:val="24"/>
          <w:lang w:val="lv-LV"/>
        </w:rPr>
        <w:t>P</w:t>
      </w:r>
      <w:r w:rsidRPr="00334E0B">
        <w:rPr>
          <w:rFonts w:ascii="Times New Roman" w:hAnsi="Times New Roman" w:cs="Times New Roman"/>
          <w:sz w:val="24"/>
          <w:szCs w:val="24"/>
          <w:lang w:val="lv-LV"/>
        </w:rPr>
        <w:t>roduktu</w:t>
      </w:r>
      <w:r>
        <w:rPr>
          <w:rFonts w:ascii="Times New Roman" w:hAnsi="Times New Roman" w:cs="Times New Roman"/>
          <w:sz w:val="24"/>
          <w:szCs w:val="24"/>
          <w:lang w:val="lv-LV"/>
        </w:rPr>
        <w:t xml:space="preserve"> </w:t>
      </w:r>
      <w:r w:rsidRPr="00334E0B">
        <w:rPr>
          <w:rFonts w:ascii="Times New Roman" w:hAnsi="Times New Roman" w:cs="Times New Roman"/>
          <w:sz w:val="24"/>
          <w:szCs w:val="24"/>
          <w:lang w:val="lv-LV"/>
        </w:rPr>
        <w:t>pārvaldības direktīva</w:t>
      </w:r>
      <w:r>
        <w:rPr>
          <w:rFonts w:ascii="Times New Roman" w:hAnsi="Times New Roman" w:cs="Times New Roman"/>
          <w:sz w:val="24"/>
          <w:szCs w:val="24"/>
          <w:lang w:val="lv-LV"/>
        </w:rPr>
        <w:t>)</w:t>
      </w:r>
      <w:r w:rsidRPr="00334E0B">
        <w:rPr>
          <w:rFonts w:ascii="Times New Roman" w:hAnsi="Times New Roman" w:cs="Times New Roman"/>
          <w:sz w:val="24"/>
          <w:szCs w:val="24"/>
          <w:lang w:val="lv-LV"/>
        </w:rPr>
        <w:t xml:space="preserve"> </w:t>
      </w:r>
      <w:r w:rsidRPr="00334E0B">
        <w:rPr>
          <w:rFonts w:ascii="Times New Roman" w:hAnsi="Times New Roman" w:cs="Times New Roman"/>
          <w:sz w:val="24"/>
          <w:szCs w:val="24"/>
          <w:lang w:val="lv-LV"/>
        </w:rPr>
        <w:lastRenderedPageBreak/>
        <w:t xml:space="preserve">preambulas 18. punktam un FKTK 2018. </w:t>
      </w:r>
      <w:r w:rsidR="0058304A">
        <w:rPr>
          <w:rFonts w:ascii="Times New Roman" w:hAnsi="Times New Roman" w:cs="Times New Roman"/>
          <w:sz w:val="24"/>
          <w:szCs w:val="24"/>
          <w:lang w:val="lv-LV"/>
        </w:rPr>
        <w:t xml:space="preserve">gada </w:t>
      </w:r>
      <w:r w:rsidR="0058304A" w:rsidRPr="00334E0B">
        <w:rPr>
          <w:rFonts w:ascii="Times New Roman" w:hAnsi="Times New Roman" w:cs="Times New Roman"/>
          <w:sz w:val="24"/>
          <w:szCs w:val="24"/>
          <w:lang w:val="lv-LV"/>
        </w:rPr>
        <w:t>28.</w:t>
      </w:r>
      <w:r w:rsidR="0058304A">
        <w:rPr>
          <w:rFonts w:ascii="Times New Roman" w:hAnsi="Times New Roman" w:cs="Times New Roman"/>
          <w:sz w:val="24"/>
          <w:szCs w:val="24"/>
          <w:lang w:val="lv-LV"/>
        </w:rPr>
        <w:t> augusta n</w:t>
      </w:r>
      <w:r w:rsidRPr="00334E0B">
        <w:rPr>
          <w:rFonts w:ascii="Times New Roman" w:hAnsi="Times New Roman" w:cs="Times New Roman"/>
          <w:sz w:val="24"/>
          <w:szCs w:val="24"/>
          <w:lang w:val="lv-LV"/>
        </w:rPr>
        <w:t>ormatīv</w:t>
      </w:r>
      <w:r w:rsidR="0058304A">
        <w:rPr>
          <w:rFonts w:ascii="Times New Roman" w:hAnsi="Times New Roman" w:cs="Times New Roman"/>
          <w:sz w:val="24"/>
          <w:szCs w:val="24"/>
          <w:lang w:val="lv-LV"/>
        </w:rPr>
        <w:t>ajiem</w:t>
      </w:r>
      <w:r w:rsidRPr="00334E0B">
        <w:rPr>
          <w:rFonts w:ascii="Times New Roman" w:hAnsi="Times New Roman" w:cs="Times New Roman"/>
          <w:sz w:val="24"/>
          <w:szCs w:val="24"/>
          <w:lang w:val="lv-LV"/>
        </w:rPr>
        <w:t xml:space="preserve"> noteikumiem Nr. 139 "Normatīvie noteikumi par ieguldījumu produktu pārvaldības prasībām" (tālāk tekstā – Noteikumi Nr. 139)</w:t>
      </w:r>
      <w:r>
        <w:rPr>
          <w:rFonts w:ascii="Times New Roman" w:hAnsi="Times New Roman" w:cs="Times New Roman"/>
          <w:sz w:val="24"/>
          <w:szCs w:val="24"/>
          <w:lang w:val="lv-LV"/>
        </w:rPr>
        <w:t xml:space="preserve"> 5. punktam</w:t>
      </w:r>
      <w:r w:rsidRPr="00334E0B">
        <w:rPr>
          <w:rFonts w:ascii="Times New Roman" w:hAnsi="Times New Roman" w:cs="Times New Roman"/>
          <w:sz w:val="24"/>
          <w:szCs w:val="24"/>
          <w:lang w:val="lv-LV"/>
        </w:rPr>
        <w:t xml:space="preserve"> produktu izplatīšanā ir jābūt ievērotam </w:t>
      </w:r>
      <w:r>
        <w:rPr>
          <w:rFonts w:ascii="Times New Roman" w:hAnsi="Times New Roman" w:cs="Times New Roman"/>
          <w:sz w:val="24"/>
          <w:szCs w:val="24"/>
          <w:lang w:val="lv-LV"/>
        </w:rPr>
        <w:t>samērīguma</w:t>
      </w:r>
      <w:r w:rsidRPr="00334E0B">
        <w:rPr>
          <w:rFonts w:ascii="Times New Roman" w:hAnsi="Times New Roman" w:cs="Times New Roman"/>
          <w:sz w:val="24"/>
          <w:szCs w:val="24"/>
          <w:lang w:val="lv-LV"/>
        </w:rPr>
        <w:t xml:space="preserve"> principam, proti, attiecībā uz vienkāršiem produktiem, kas </w:t>
      </w:r>
      <w:r>
        <w:rPr>
          <w:rFonts w:ascii="Times New Roman" w:hAnsi="Times New Roman" w:cs="Times New Roman"/>
          <w:sz w:val="24"/>
          <w:szCs w:val="24"/>
          <w:lang w:val="lv-LV"/>
        </w:rPr>
        <w:t>atbilst</w:t>
      </w:r>
      <w:r w:rsidRPr="00334E0B">
        <w:rPr>
          <w:rFonts w:ascii="Times New Roman" w:hAnsi="Times New Roman" w:cs="Times New Roman"/>
          <w:sz w:val="24"/>
          <w:szCs w:val="24"/>
          <w:lang w:val="lv-LV"/>
        </w:rPr>
        <w:t xml:space="preserve"> lielam skaitam klientu, papildus </w:t>
      </w:r>
      <w:r w:rsidR="004C5A68" w:rsidRPr="00334E0B">
        <w:rPr>
          <w:rFonts w:ascii="Times New Roman" w:hAnsi="Times New Roman" w:cs="Times New Roman"/>
          <w:sz w:val="24"/>
          <w:szCs w:val="24"/>
          <w:lang w:val="lv-LV"/>
        </w:rPr>
        <w:t xml:space="preserve">nav nepieciešams </w:t>
      </w:r>
      <w:r w:rsidRPr="00334E0B">
        <w:rPr>
          <w:rFonts w:ascii="Times New Roman" w:hAnsi="Times New Roman" w:cs="Times New Roman"/>
          <w:sz w:val="24"/>
          <w:szCs w:val="24"/>
          <w:lang w:val="lv-LV"/>
        </w:rPr>
        <w:t>produkta izplatītāja veikts mērķauditorijas novērtējums. Produktu pārvaldības direktīvas mērķis nav vērsts uz piln</w:t>
      </w:r>
      <w:r w:rsidR="0058304A">
        <w:rPr>
          <w:rFonts w:ascii="Times New Roman" w:hAnsi="Times New Roman" w:cs="Times New Roman"/>
          <w:sz w:val="24"/>
          <w:szCs w:val="24"/>
          <w:lang w:val="lv-LV"/>
        </w:rPr>
        <w:t>īgu</w:t>
      </w:r>
      <w:r w:rsidRPr="00334E0B">
        <w:rPr>
          <w:rFonts w:ascii="Times New Roman" w:hAnsi="Times New Roman" w:cs="Times New Roman"/>
          <w:sz w:val="24"/>
          <w:szCs w:val="24"/>
          <w:lang w:val="lv-LV"/>
        </w:rPr>
        <w:t xml:space="preserve"> aizliegumu privātiem klientiem iegādāties noteiktus FI, bet </w:t>
      </w:r>
      <w:r w:rsidR="0058304A">
        <w:rPr>
          <w:rFonts w:ascii="Times New Roman" w:hAnsi="Times New Roman" w:cs="Times New Roman"/>
          <w:sz w:val="24"/>
          <w:szCs w:val="24"/>
          <w:lang w:val="lv-LV"/>
        </w:rPr>
        <w:t>gan</w:t>
      </w:r>
      <w:r w:rsidRPr="00334E0B">
        <w:rPr>
          <w:rFonts w:ascii="Times New Roman" w:hAnsi="Times New Roman" w:cs="Times New Roman"/>
          <w:sz w:val="24"/>
          <w:szCs w:val="24"/>
          <w:lang w:val="lv-LV"/>
        </w:rPr>
        <w:t xml:space="preserve"> uz lielāku klientu aizsardzību, pielāgojot produktu izplatīšanas stratēģiju mērķauditorijai. Tomēr joprojām paliek spēkā pienākums vērtēt produkta </w:t>
      </w:r>
      <w:r>
        <w:rPr>
          <w:rFonts w:ascii="Times New Roman" w:hAnsi="Times New Roman" w:cs="Times New Roman"/>
          <w:sz w:val="24"/>
          <w:szCs w:val="24"/>
          <w:lang w:val="lv-LV"/>
        </w:rPr>
        <w:t xml:space="preserve">atbilstību </w:t>
      </w:r>
      <w:r w:rsidRPr="00334E0B">
        <w:rPr>
          <w:rFonts w:ascii="Times New Roman" w:hAnsi="Times New Roman" w:cs="Times New Roman"/>
          <w:sz w:val="24"/>
          <w:szCs w:val="24"/>
          <w:lang w:val="lv-LV"/>
        </w:rPr>
        <w:t xml:space="preserve">atsevišķam klientam pirms klienta rīkojuma par darījumu ar FI izpildes. </w:t>
      </w:r>
    </w:p>
    <w:p w:rsidR="0030777A" w:rsidRPr="00334E0B" w:rsidRDefault="0030777A" w:rsidP="0030777A">
      <w:pPr>
        <w:spacing w:after="0" w:line="240" w:lineRule="auto"/>
        <w:jc w:val="both"/>
        <w:rPr>
          <w:rFonts w:ascii="Times New Roman" w:hAnsi="Times New Roman" w:cs="Times New Roman"/>
          <w:sz w:val="24"/>
          <w:szCs w:val="24"/>
          <w:lang w:val="lv-LV"/>
        </w:rPr>
      </w:pPr>
    </w:p>
    <w:p w:rsidR="0030777A" w:rsidRPr="00334E0B" w:rsidRDefault="0058304A" w:rsidP="0030777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FKTK</w:t>
      </w:r>
      <w:r w:rsidRPr="00334E0B">
        <w:rPr>
          <w:rFonts w:ascii="Times New Roman" w:hAnsi="Times New Roman" w:cs="Times New Roman"/>
          <w:sz w:val="24"/>
          <w:szCs w:val="24"/>
          <w:lang w:val="lv-LV"/>
        </w:rPr>
        <w:t xml:space="preserve"> </w:t>
      </w:r>
      <w:r w:rsidR="0030777A" w:rsidRPr="00334E0B">
        <w:rPr>
          <w:rFonts w:ascii="Times New Roman" w:hAnsi="Times New Roman" w:cs="Times New Roman"/>
          <w:sz w:val="24"/>
          <w:szCs w:val="24"/>
          <w:lang w:val="lv-LV"/>
        </w:rPr>
        <w:t xml:space="preserve">skatījumā </w:t>
      </w:r>
      <w:r w:rsidR="0030777A">
        <w:rPr>
          <w:rFonts w:ascii="Times New Roman" w:hAnsi="Times New Roman" w:cs="Times New Roman"/>
          <w:sz w:val="24"/>
          <w:szCs w:val="24"/>
          <w:lang w:val="lv-LV"/>
        </w:rPr>
        <w:t>samēr</w:t>
      </w:r>
      <w:r w:rsidR="00635CD1">
        <w:rPr>
          <w:rFonts w:ascii="Times New Roman" w:hAnsi="Times New Roman" w:cs="Times New Roman"/>
          <w:sz w:val="24"/>
          <w:szCs w:val="24"/>
          <w:lang w:val="lv-LV"/>
        </w:rPr>
        <w:t>ī</w:t>
      </w:r>
      <w:r w:rsidR="0030777A">
        <w:rPr>
          <w:rFonts w:ascii="Times New Roman" w:hAnsi="Times New Roman" w:cs="Times New Roman"/>
          <w:sz w:val="24"/>
          <w:szCs w:val="24"/>
          <w:lang w:val="lv-LV"/>
        </w:rPr>
        <w:t>guma</w:t>
      </w:r>
      <w:r w:rsidR="0030777A" w:rsidRPr="00334E0B">
        <w:rPr>
          <w:rFonts w:ascii="Times New Roman" w:hAnsi="Times New Roman" w:cs="Times New Roman"/>
          <w:sz w:val="24"/>
          <w:szCs w:val="24"/>
          <w:lang w:val="lv-LV"/>
        </w:rPr>
        <w:t xml:space="preserve"> principa ievērošana praksē </w:t>
      </w:r>
      <w:r w:rsidR="0030777A" w:rsidRPr="00E23AA9">
        <w:rPr>
          <w:rFonts w:ascii="Times New Roman" w:hAnsi="Times New Roman" w:cs="Times New Roman"/>
          <w:sz w:val="24"/>
          <w:szCs w:val="24"/>
          <w:lang w:val="lv-LV"/>
        </w:rPr>
        <w:t>nozīm</w:t>
      </w:r>
      <w:r w:rsidRPr="00E23AA9">
        <w:rPr>
          <w:rFonts w:ascii="Times New Roman" w:hAnsi="Times New Roman" w:cs="Times New Roman"/>
          <w:sz w:val="24"/>
          <w:szCs w:val="24"/>
          <w:lang w:val="lv-LV"/>
        </w:rPr>
        <w:t>ē</w:t>
      </w:r>
      <w:r w:rsidR="0030777A" w:rsidRPr="00E23AA9">
        <w:rPr>
          <w:rFonts w:ascii="Times New Roman" w:hAnsi="Times New Roman" w:cs="Times New Roman"/>
          <w:sz w:val="24"/>
          <w:szCs w:val="24"/>
          <w:lang w:val="lv-LV"/>
        </w:rPr>
        <w:t xml:space="preserve"> dažāda</w:t>
      </w:r>
      <w:r w:rsidR="00AE3C51" w:rsidRPr="00632BF2">
        <w:rPr>
          <w:rFonts w:ascii="Times New Roman" w:hAnsi="Times New Roman" w:cs="Times New Roman"/>
          <w:sz w:val="24"/>
          <w:szCs w:val="24"/>
          <w:lang w:val="lv-LV"/>
        </w:rPr>
        <w:t>s</w:t>
      </w:r>
      <w:r w:rsidR="0030777A" w:rsidRPr="00E23AA9">
        <w:rPr>
          <w:rFonts w:ascii="Times New Roman" w:hAnsi="Times New Roman" w:cs="Times New Roman"/>
          <w:sz w:val="24"/>
          <w:szCs w:val="24"/>
          <w:lang w:val="lv-LV"/>
        </w:rPr>
        <w:t xml:space="preserve"> detalizācija</w:t>
      </w:r>
      <w:r w:rsidR="00AE3C51" w:rsidRPr="00632BF2">
        <w:rPr>
          <w:rFonts w:ascii="Times New Roman" w:hAnsi="Times New Roman" w:cs="Times New Roman"/>
          <w:sz w:val="24"/>
          <w:szCs w:val="24"/>
          <w:lang w:val="lv-LV"/>
        </w:rPr>
        <w:t>s</w:t>
      </w:r>
      <w:r w:rsidR="0030777A" w:rsidRPr="00E23AA9">
        <w:rPr>
          <w:rFonts w:ascii="Times New Roman" w:hAnsi="Times New Roman" w:cs="Times New Roman"/>
          <w:sz w:val="24"/>
          <w:szCs w:val="24"/>
          <w:lang w:val="lv-LV"/>
        </w:rPr>
        <w:t xml:space="preserve"> mērķtirgus vērtēšan</w:t>
      </w:r>
      <w:r w:rsidR="00AE3C51" w:rsidRPr="00E23AA9">
        <w:rPr>
          <w:rFonts w:ascii="Times New Roman" w:hAnsi="Times New Roman" w:cs="Times New Roman"/>
          <w:sz w:val="24"/>
          <w:szCs w:val="24"/>
          <w:lang w:val="lv-LV"/>
        </w:rPr>
        <w:t>u</w:t>
      </w:r>
      <w:r w:rsidR="0030777A" w:rsidRPr="00E23AA9">
        <w:rPr>
          <w:rFonts w:ascii="Times New Roman" w:hAnsi="Times New Roman" w:cs="Times New Roman"/>
          <w:sz w:val="24"/>
          <w:szCs w:val="24"/>
          <w:lang w:val="lv-LV"/>
        </w:rPr>
        <w:t xml:space="preserve"> atkarībā</w:t>
      </w:r>
      <w:r w:rsidR="0030777A" w:rsidRPr="00334E0B">
        <w:rPr>
          <w:rFonts w:ascii="Times New Roman" w:hAnsi="Times New Roman" w:cs="Times New Roman"/>
          <w:sz w:val="24"/>
          <w:szCs w:val="24"/>
          <w:lang w:val="lv-LV"/>
        </w:rPr>
        <w:t xml:space="preserve"> no produkta sarežģītības un aktīvas vai pasīvas iestādes rīcības produktu piedāvāšanā. </w:t>
      </w:r>
    </w:p>
    <w:p w:rsidR="0030777A" w:rsidRPr="00334E0B" w:rsidRDefault="0030777A" w:rsidP="0030777A">
      <w:pPr>
        <w:spacing w:after="0" w:line="240" w:lineRule="auto"/>
        <w:jc w:val="both"/>
        <w:rPr>
          <w:rFonts w:ascii="Times New Roman" w:hAnsi="Times New Roman" w:cs="Times New Roman"/>
          <w:sz w:val="24"/>
          <w:szCs w:val="24"/>
          <w:lang w:val="lv-LV"/>
        </w:rPr>
      </w:pPr>
    </w:p>
    <w:p w:rsidR="0030777A" w:rsidRPr="00334E0B" w:rsidRDefault="0030777A" w:rsidP="0030777A">
      <w:pPr>
        <w:spacing w:after="0" w:line="240" w:lineRule="auto"/>
        <w:jc w:val="both"/>
        <w:rPr>
          <w:rFonts w:ascii="Times New Roman" w:hAnsi="Times New Roman" w:cs="Times New Roman"/>
          <w:sz w:val="24"/>
          <w:szCs w:val="24"/>
          <w:lang w:val="lv-LV"/>
        </w:rPr>
      </w:pPr>
      <w:r w:rsidRPr="00334E0B">
        <w:rPr>
          <w:rFonts w:ascii="Times New Roman" w:hAnsi="Times New Roman" w:cs="Times New Roman"/>
          <w:sz w:val="24"/>
          <w:szCs w:val="24"/>
          <w:lang w:val="lv-LV"/>
        </w:rPr>
        <w:t>Saskaņā ar Noteikumu Nr. 139 15. punktu strukturētiem produktiem ar sarežģītu ienesīgum</w:t>
      </w:r>
      <w:r w:rsidR="006A3833">
        <w:rPr>
          <w:rFonts w:ascii="Times New Roman" w:hAnsi="Times New Roman" w:cs="Times New Roman"/>
          <w:sz w:val="24"/>
          <w:szCs w:val="24"/>
          <w:lang w:val="lv-LV"/>
        </w:rPr>
        <w:t>a</w:t>
      </w:r>
      <w:r w:rsidRPr="00334E0B">
        <w:rPr>
          <w:rFonts w:ascii="Times New Roman" w:hAnsi="Times New Roman" w:cs="Times New Roman"/>
          <w:sz w:val="24"/>
          <w:szCs w:val="24"/>
          <w:lang w:val="lv-LV"/>
        </w:rPr>
        <w:t xml:space="preserve"> struktūru mērķtirgu identificē detalizēti, savukārt attiecībā uz vienkāršiem produktiem mērķtirgus apraksts var būt vispārīgs, izmantojot kopējo pieeju viena veida finanšu instrumentiem. Ņemot vērā, ka </w:t>
      </w:r>
      <w:r w:rsidRPr="00334E0B">
        <w:rPr>
          <w:rFonts w:ascii="Times New Roman" w:hAnsi="Times New Roman" w:cs="Times New Roman"/>
          <w:i/>
          <w:sz w:val="24"/>
          <w:szCs w:val="24"/>
          <w:lang w:val="lv-LV"/>
        </w:rPr>
        <w:t>execution only</w:t>
      </w:r>
      <w:r w:rsidRPr="00334E0B">
        <w:rPr>
          <w:rFonts w:ascii="Times New Roman" w:hAnsi="Times New Roman" w:cs="Times New Roman"/>
          <w:sz w:val="24"/>
          <w:szCs w:val="24"/>
          <w:lang w:val="lv-LV"/>
        </w:rPr>
        <w:t xml:space="preserve"> režīms attiecas tikai uz vienkāršiem finanšu instrumentiem, iestāde mērķtirgu </w:t>
      </w:r>
      <w:r w:rsidR="0058304A">
        <w:rPr>
          <w:rFonts w:ascii="Times New Roman" w:hAnsi="Times New Roman" w:cs="Times New Roman"/>
          <w:sz w:val="24"/>
          <w:szCs w:val="24"/>
          <w:lang w:val="lv-LV"/>
        </w:rPr>
        <w:t xml:space="preserve">var </w:t>
      </w:r>
      <w:r w:rsidRPr="00334E0B">
        <w:rPr>
          <w:rFonts w:ascii="Times New Roman" w:hAnsi="Times New Roman" w:cs="Times New Roman"/>
          <w:sz w:val="24"/>
          <w:szCs w:val="24"/>
          <w:lang w:val="lv-LV"/>
        </w:rPr>
        <w:t>defin</w:t>
      </w:r>
      <w:r w:rsidR="0058304A">
        <w:rPr>
          <w:rFonts w:ascii="Times New Roman" w:hAnsi="Times New Roman" w:cs="Times New Roman"/>
          <w:sz w:val="24"/>
          <w:szCs w:val="24"/>
          <w:lang w:val="lv-LV"/>
        </w:rPr>
        <w:t>ēt</w:t>
      </w:r>
      <w:r w:rsidR="0058304A" w:rsidRPr="00334E0B">
        <w:rPr>
          <w:rFonts w:ascii="Times New Roman" w:hAnsi="Times New Roman" w:cs="Times New Roman"/>
          <w:sz w:val="24"/>
          <w:szCs w:val="24"/>
          <w:lang w:val="lv-LV"/>
        </w:rPr>
        <w:t xml:space="preserve"> </w:t>
      </w:r>
      <w:r w:rsidRPr="00334E0B">
        <w:rPr>
          <w:rFonts w:ascii="Times New Roman" w:hAnsi="Times New Roman" w:cs="Times New Roman"/>
          <w:sz w:val="24"/>
          <w:szCs w:val="24"/>
          <w:lang w:val="lv-LV"/>
        </w:rPr>
        <w:t xml:space="preserve">vispārīgi (piemēram, attiecībā uz produktu "biržā tirgojamās akcijas", "UCITS ieguldījumu fondi" </w:t>
      </w:r>
      <w:r w:rsidR="007613CD">
        <w:rPr>
          <w:rFonts w:ascii="Times New Roman" w:hAnsi="Times New Roman" w:cs="Times New Roman"/>
          <w:sz w:val="24"/>
          <w:szCs w:val="24"/>
          <w:lang w:val="lv-LV"/>
        </w:rPr>
        <w:t>utt</w:t>
      </w:r>
      <w:r w:rsidRPr="00334E0B">
        <w:rPr>
          <w:rFonts w:ascii="Times New Roman" w:hAnsi="Times New Roman" w:cs="Times New Roman"/>
          <w:sz w:val="24"/>
          <w:szCs w:val="24"/>
          <w:lang w:val="lv-LV"/>
        </w:rPr>
        <w:t xml:space="preserve">.).    </w:t>
      </w:r>
    </w:p>
    <w:p w:rsidR="0030777A" w:rsidRPr="00334E0B" w:rsidRDefault="0030777A" w:rsidP="0030777A">
      <w:pPr>
        <w:spacing w:after="0" w:line="240" w:lineRule="auto"/>
        <w:jc w:val="both"/>
        <w:rPr>
          <w:rFonts w:ascii="Times New Roman" w:hAnsi="Times New Roman" w:cs="Times New Roman"/>
          <w:sz w:val="24"/>
          <w:szCs w:val="24"/>
          <w:lang w:val="lv-LV"/>
        </w:rPr>
      </w:pPr>
    </w:p>
    <w:p w:rsidR="0030777A" w:rsidRPr="00334E0B" w:rsidRDefault="0030777A" w:rsidP="0030777A">
      <w:pPr>
        <w:spacing w:after="0" w:line="240" w:lineRule="auto"/>
        <w:jc w:val="both"/>
        <w:rPr>
          <w:rFonts w:ascii="Times New Roman" w:hAnsi="Times New Roman" w:cs="Times New Roman"/>
          <w:sz w:val="24"/>
          <w:szCs w:val="24"/>
          <w:lang w:val="lv-LV"/>
        </w:rPr>
      </w:pPr>
      <w:r w:rsidRPr="00334E0B">
        <w:rPr>
          <w:rFonts w:ascii="Times New Roman" w:hAnsi="Times New Roman" w:cs="Times New Roman"/>
          <w:sz w:val="24"/>
          <w:szCs w:val="24"/>
          <w:lang w:val="lv-LV"/>
        </w:rPr>
        <w:t xml:space="preserve">Pieņemot lēmumu saskaņā ar FITL </w:t>
      </w:r>
      <w:r w:rsidRPr="00B466EF">
        <w:rPr>
          <w:rFonts w:ascii="Times New Roman" w:hAnsi="Times New Roman" w:cs="Times New Roman"/>
          <w:sz w:val="24"/>
          <w:szCs w:val="24"/>
          <w:lang w:val="lv-LV"/>
        </w:rPr>
        <w:t>133.</w:t>
      </w:r>
      <w:r w:rsidRPr="00B466EF">
        <w:rPr>
          <w:rFonts w:ascii="Times New Roman" w:hAnsi="Times New Roman" w:cs="Times New Roman"/>
          <w:sz w:val="24"/>
          <w:szCs w:val="24"/>
          <w:vertAlign w:val="superscript"/>
          <w:lang w:val="lv-LV"/>
        </w:rPr>
        <w:t xml:space="preserve">17 </w:t>
      </w:r>
      <w:r w:rsidRPr="00B466EF">
        <w:rPr>
          <w:rFonts w:ascii="Times New Roman" w:hAnsi="Times New Roman" w:cs="Times New Roman"/>
          <w:sz w:val="24"/>
          <w:szCs w:val="24"/>
          <w:lang w:val="lv-LV"/>
        </w:rPr>
        <w:t xml:space="preserve">panta </w:t>
      </w:r>
      <w:r>
        <w:rPr>
          <w:rFonts w:ascii="Times New Roman" w:hAnsi="Times New Roman" w:cs="Times New Roman"/>
          <w:sz w:val="24"/>
          <w:szCs w:val="24"/>
          <w:lang w:val="lv-LV"/>
        </w:rPr>
        <w:t xml:space="preserve">pirmo daļu </w:t>
      </w:r>
      <w:r w:rsidRPr="00334E0B">
        <w:rPr>
          <w:rFonts w:ascii="Times New Roman" w:hAnsi="Times New Roman" w:cs="Times New Roman"/>
          <w:sz w:val="24"/>
          <w:szCs w:val="24"/>
          <w:lang w:val="lv-LV"/>
        </w:rPr>
        <w:t xml:space="preserve">un Noteikumu </w:t>
      </w:r>
      <w:r w:rsidR="007613CD">
        <w:rPr>
          <w:rFonts w:ascii="Times New Roman" w:hAnsi="Times New Roman" w:cs="Times New Roman"/>
          <w:sz w:val="24"/>
          <w:szCs w:val="24"/>
          <w:lang w:val="lv-LV"/>
        </w:rPr>
        <w:t>Nr. </w:t>
      </w:r>
      <w:r w:rsidRPr="00334E0B">
        <w:rPr>
          <w:rFonts w:ascii="Times New Roman" w:hAnsi="Times New Roman" w:cs="Times New Roman"/>
          <w:sz w:val="24"/>
          <w:szCs w:val="24"/>
          <w:lang w:val="lv-LV"/>
        </w:rPr>
        <w:t>139 20. punktu par produktu klāstu, kuru iestāde – izplatītājs</w:t>
      </w:r>
      <w:r w:rsidR="0058304A">
        <w:rPr>
          <w:rFonts w:ascii="Times New Roman" w:hAnsi="Times New Roman" w:cs="Times New Roman"/>
          <w:sz w:val="24"/>
          <w:szCs w:val="24"/>
          <w:lang w:val="lv-LV"/>
        </w:rPr>
        <w:t> –</w:t>
      </w:r>
      <w:r w:rsidRPr="00334E0B">
        <w:rPr>
          <w:rFonts w:ascii="Times New Roman" w:hAnsi="Times New Roman" w:cs="Times New Roman"/>
          <w:sz w:val="24"/>
          <w:szCs w:val="24"/>
          <w:lang w:val="lv-LV"/>
        </w:rPr>
        <w:t xml:space="preserve"> plāno piedāvāt vai ieteikt klientiem, iestāde ņem vērā ne tikai produkta sarežģītību, bet arī faktu, vai iestāde plāno aktīvi piedāvāt klientiem attiecīgo produktu, tostarp rekomendēt, izplat</w:t>
      </w:r>
      <w:r w:rsidR="0058304A">
        <w:rPr>
          <w:rFonts w:ascii="Times New Roman" w:hAnsi="Times New Roman" w:cs="Times New Roman"/>
          <w:sz w:val="24"/>
          <w:szCs w:val="24"/>
          <w:lang w:val="lv-LV"/>
        </w:rPr>
        <w:t>īt</w:t>
      </w:r>
      <w:r w:rsidRPr="00334E0B">
        <w:rPr>
          <w:rFonts w:ascii="Times New Roman" w:hAnsi="Times New Roman" w:cs="Times New Roman"/>
          <w:sz w:val="24"/>
          <w:szCs w:val="24"/>
          <w:lang w:val="lv-LV"/>
        </w:rPr>
        <w:t xml:space="preserve"> mārketinga materiālus un citā veidā veicināt produkta pārdošanu. Proti, agrīnā posmā uz </w:t>
      </w:r>
      <w:r w:rsidRPr="00B466EF">
        <w:rPr>
          <w:rFonts w:ascii="Times New Roman" w:hAnsi="Times New Roman" w:cs="Times New Roman"/>
          <w:i/>
          <w:sz w:val="24"/>
          <w:szCs w:val="24"/>
          <w:lang w:val="lv-LV"/>
        </w:rPr>
        <w:t>ex-ante</w:t>
      </w:r>
      <w:r w:rsidRPr="00334E0B">
        <w:rPr>
          <w:rFonts w:ascii="Times New Roman" w:hAnsi="Times New Roman" w:cs="Times New Roman"/>
          <w:sz w:val="24"/>
          <w:szCs w:val="24"/>
          <w:lang w:val="lv-LV"/>
        </w:rPr>
        <w:t xml:space="preserve"> pamata detalizētākā līmenī tiek pieņemts lēmums un definēts mērķtirgus attiecībā uz tādiem produktiem, kurus iestāde plāno aktīvi piedāvāt saviem klientiem. Savukārt, ja produkts ir pieejams tikai pēc klienta iniciatīvas bez produkta pārdošanas veicināšanas (piemēram, trešās puses tirdzniecības platformā, kur ir ļoti plašs finanšu instrumentu klāsts), mērķtirgus vērtēšana var būt vispārīgāka, pieņemot par to atsevišķ</w:t>
      </w:r>
      <w:r w:rsidR="0058304A">
        <w:rPr>
          <w:rFonts w:ascii="Times New Roman" w:hAnsi="Times New Roman" w:cs="Times New Roman"/>
          <w:sz w:val="24"/>
          <w:szCs w:val="24"/>
          <w:lang w:val="lv-LV"/>
        </w:rPr>
        <w:t>u</w:t>
      </w:r>
      <w:r w:rsidRPr="00334E0B">
        <w:rPr>
          <w:rFonts w:ascii="Times New Roman" w:hAnsi="Times New Roman" w:cs="Times New Roman"/>
          <w:sz w:val="24"/>
          <w:szCs w:val="24"/>
          <w:lang w:val="lv-LV"/>
        </w:rPr>
        <w:t xml:space="preserve"> lēmumu atbilstoši Noteikumu </w:t>
      </w:r>
      <w:r w:rsidR="0058304A">
        <w:rPr>
          <w:rFonts w:ascii="Times New Roman" w:hAnsi="Times New Roman" w:cs="Times New Roman"/>
          <w:sz w:val="24"/>
          <w:szCs w:val="24"/>
          <w:lang w:val="lv-LV"/>
        </w:rPr>
        <w:t>Nr. </w:t>
      </w:r>
      <w:r w:rsidRPr="00334E0B">
        <w:rPr>
          <w:rFonts w:ascii="Times New Roman" w:hAnsi="Times New Roman" w:cs="Times New Roman"/>
          <w:sz w:val="24"/>
          <w:szCs w:val="24"/>
          <w:lang w:val="lv-LV"/>
        </w:rPr>
        <w:t xml:space="preserve">139 23. </w:t>
      </w:r>
      <w:r w:rsidR="0058304A">
        <w:rPr>
          <w:rFonts w:ascii="Times New Roman" w:hAnsi="Times New Roman" w:cs="Times New Roman"/>
          <w:sz w:val="24"/>
          <w:szCs w:val="24"/>
          <w:lang w:val="lv-LV"/>
        </w:rPr>
        <w:t>p</w:t>
      </w:r>
      <w:r w:rsidRPr="00334E0B">
        <w:rPr>
          <w:rFonts w:ascii="Times New Roman" w:hAnsi="Times New Roman" w:cs="Times New Roman"/>
          <w:sz w:val="24"/>
          <w:szCs w:val="24"/>
          <w:lang w:val="lv-LV"/>
        </w:rPr>
        <w:t>ant</w:t>
      </w:r>
      <w:r w:rsidR="0058304A">
        <w:rPr>
          <w:rFonts w:ascii="Times New Roman" w:hAnsi="Times New Roman" w:cs="Times New Roman"/>
          <w:sz w:val="24"/>
          <w:szCs w:val="24"/>
          <w:lang w:val="lv-LV"/>
        </w:rPr>
        <w:t>ā noteiktajām</w:t>
      </w:r>
      <w:r w:rsidRPr="00334E0B">
        <w:rPr>
          <w:rFonts w:ascii="Times New Roman" w:hAnsi="Times New Roman" w:cs="Times New Roman"/>
          <w:sz w:val="24"/>
          <w:szCs w:val="24"/>
          <w:lang w:val="lv-LV"/>
        </w:rPr>
        <w:t xml:space="preserve"> prasīb</w:t>
      </w:r>
      <w:r>
        <w:rPr>
          <w:rFonts w:ascii="Times New Roman" w:hAnsi="Times New Roman" w:cs="Times New Roman"/>
          <w:sz w:val="24"/>
          <w:szCs w:val="24"/>
          <w:lang w:val="lv-LV"/>
        </w:rPr>
        <w:t>ām</w:t>
      </w:r>
      <w:r w:rsidRPr="00334E0B">
        <w:rPr>
          <w:rFonts w:ascii="Times New Roman" w:hAnsi="Times New Roman" w:cs="Times New Roman"/>
          <w:sz w:val="24"/>
          <w:szCs w:val="24"/>
          <w:lang w:val="lv-LV"/>
        </w:rPr>
        <w:t xml:space="preserve"> un ievērojot Noteikumu </w:t>
      </w:r>
      <w:r w:rsidR="0058304A">
        <w:rPr>
          <w:rFonts w:ascii="Times New Roman" w:hAnsi="Times New Roman" w:cs="Times New Roman"/>
          <w:sz w:val="24"/>
          <w:szCs w:val="24"/>
          <w:lang w:val="lv-LV"/>
        </w:rPr>
        <w:t>Nr. </w:t>
      </w:r>
      <w:r w:rsidRPr="00334E0B">
        <w:rPr>
          <w:rFonts w:ascii="Times New Roman" w:hAnsi="Times New Roman" w:cs="Times New Roman"/>
          <w:sz w:val="24"/>
          <w:szCs w:val="24"/>
          <w:lang w:val="lv-LV"/>
        </w:rPr>
        <w:t>139 31. panta prasības. Ja par klientu pieejam</w:t>
      </w:r>
      <w:r w:rsidR="0058304A">
        <w:rPr>
          <w:rFonts w:ascii="Times New Roman" w:hAnsi="Times New Roman" w:cs="Times New Roman"/>
          <w:sz w:val="24"/>
          <w:szCs w:val="24"/>
          <w:lang w:val="lv-LV"/>
        </w:rPr>
        <w:t>ā</w:t>
      </w:r>
      <w:r w:rsidRPr="00334E0B">
        <w:rPr>
          <w:rFonts w:ascii="Times New Roman" w:hAnsi="Times New Roman" w:cs="Times New Roman"/>
          <w:sz w:val="24"/>
          <w:szCs w:val="24"/>
          <w:lang w:val="lv-LV"/>
        </w:rPr>
        <w:t xml:space="preserve"> informācija nav pietiekama</w:t>
      </w:r>
      <w:r w:rsidR="0058304A">
        <w:rPr>
          <w:rFonts w:ascii="Times New Roman" w:hAnsi="Times New Roman" w:cs="Times New Roman"/>
          <w:sz w:val="24"/>
          <w:szCs w:val="24"/>
          <w:lang w:val="lv-LV"/>
        </w:rPr>
        <w:t>, lai pilnībā izvērtētu</w:t>
      </w:r>
      <w:r w:rsidRPr="00334E0B">
        <w:rPr>
          <w:rFonts w:ascii="Times New Roman" w:hAnsi="Times New Roman" w:cs="Times New Roman"/>
          <w:sz w:val="24"/>
          <w:szCs w:val="24"/>
          <w:lang w:val="lv-LV"/>
        </w:rPr>
        <w:t xml:space="preserve"> mērķtirgu (piemēram, iestādes rīcībā ir informācija par klientu zināšanām un pieredzi, bet nav par finansiālo stāvokli un ieguldīšanas mērķi)</w:t>
      </w:r>
      <w:r w:rsidR="0058304A">
        <w:rPr>
          <w:rFonts w:ascii="Times New Roman" w:hAnsi="Times New Roman" w:cs="Times New Roman"/>
          <w:sz w:val="24"/>
          <w:szCs w:val="24"/>
          <w:lang w:val="lv-LV"/>
        </w:rPr>
        <w:t>,</w:t>
      </w:r>
      <w:r w:rsidRPr="00334E0B">
        <w:rPr>
          <w:rFonts w:ascii="Times New Roman" w:hAnsi="Times New Roman" w:cs="Times New Roman"/>
          <w:sz w:val="24"/>
          <w:szCs w:val="24"/>
          <w:lang w:val="lv-LV"/>
        </w:rPr>
        <w:t xml:space="preserve"> iestādei ir pienākums brīdināt klientus par ierobežot</w:t>
      </w:r>
      <w:r w:rsidR="0058304A">
        <w:rPr>
          <w:rFonts w:ascii="Times New Roman" w:hAnsi="Times New Roman" w:cs="Times New Roman"/>
          <w:sz w:val="24"/>
          <w:szCs w:val="24"/>
          <w:lang w:val="lv-LV"/>
        </w:rPr>
        <w:t>u</w:t>
      </w:r>
      <w:r w:rsidRPr="00334E0B">
        <w:rPr>
          <w:rFonts w:ascii="Times New Roman" w:hAnsi="Times New Roman" w:cs="Times New Roman"/>
          <w:sz w:val="24"/>
          <w:szCs w:val="24"/>
          <w:lang w:val="lv-LV"/>
        </w:rPr>
        <w:t xml:space="preserve"> iespēju izvērtēt, vai klients atbilst mērķtirgum, kā to paredz Noteikumu Nr.</w:t>
      </w:r>
      <w:r w:rsidR="0058304A">
        <w:rPr>
          <w:rFonts w:ascii="Times New Roman" w:hAnsi="Times New Roman" w:cs="Times New Roman"/>
          <w:sz w:val="24"/>
          <w:szCs w:val="24"/>
          <w:lang w:val="lv-LV"/>
        </w:rPr>
        <w:t> </w:t>
      </w:r>
      <w:r w:rsidRPr="00334E0B">
        <w:rPr>
          <w:rFonts w:ascii="Times New Roman" w:hAnsi="Times New Roman" w:cs="Times New Roman"/>
          <w:sz w:val="24"/>
          <w:szCs w:val="24"/>
          <w:lang w:val="lv-LV"/>
        </w:rPr>
        <w:t>139 36. punkts.</w:t>
      </w:r>
    </w:p>
    <w:p w:rsidR="0030777A" w:rsidRPr="00334E0B" w:rsidRDefault="0030777A" w:rsidP="0030777A">
      <w:pPr>
        <w:spacing w:after="0" w:line="240" w:lineRule="auto"/>
        <w:jc w:val="both"/>
        <w:rPr>
          <w:rFonts w:ascii="Times New Roman" w:hAnsi="Times New Roman" w:cs="Times New Roman"/>
          <w:sz w:val="24"/>
          <w:szCs w:val="24"/>
          <w:lang w:val="lv-LV"/>
        </w:rPr>
      </w:pPr>
    </w:p>
    <w:p w:rsidR="0030777A" w:rsidRDefault="0030777A" w:rsidP="0030777A">
      <w:pPr>
        <w:spacing w:after="0" w:line="240" w:lineRule="auto"/>
        <w:jc w:val="both"/>
        <w:rPr>
          <w:rFonts w:ascii="Times New Roman" w:hAnsi="Times New Roman" w:cs="Times New Roman"/>
          <w:sz w:val="24"/>
          <w:szCs w:val="24"/>
          <w:lang w:val="lv-LV"/>
        </w:rPr>
      </w:pPr>
      <w:r w:rsidRPr="00334E0B">
        <w:rPr>
          <w:rFonts w:ascii="Times New Roman" w:hAnsi="Times New Roman" w:cs="Times New Roman"/>
          <w:sz w:val="24"/>
          <w:szCs w:val="24"/>
          <w:lang w:val="lv-LV"/>
        </w:rPr>
        <w:t xml:space="preserve">Papildus vēršam uzmanību, ka saskaņā ar Noteikumu Nr. 139 17. punktu produkta, kas ir izveidots pēc individuāla klienta pieprasījuma vai ir pielāgots konkrētam klientam (piemēram, IRS vai valūtas </w:t>
      </w:r>
      <w:r w:rsidRPr="00B466EF">
        <w:rPr>
          <w:rFonts w:ascii="Times New Roman" w:hAnsi="Times New Roman" w:cs="Times New Roman"/>
          <w:i/>
          <w:sz w:val="24"/>
          <w:szCs w:val="24"/>
          <w:lang w:val="lv-LV"/>
        </w:rPr>
        <w:t>Forward</w:t>
      </w:r>
      <w:r w:rsidRPr="00334E0B">
        <w:rPr>
          <w:rFonts w:ascii="Times New Roman" w:hAnsi="Times New Roman" w:cs="Times New Roman"/>
          <w:sz w:val="24"/>
          <w:szCs w:val="24"/>
          <w:lang w:val="lv-LV"/>
        </w:rPr>
        <w:t>), mērķtirgus ir klients, kurš pasūtījis konkrēto produktu.</w:t>
      </w:r>
    </w:p>
    <w:p w:rsidR="0030777A" w:rsidRDefault="0030777A" w:rsidP="0030777A">
      <w:pPr>
        <w:spacing w:after="0" w:line="240" w:lineRule="auto"/>
        <w:jc w:val="both"/>
        <w:rPr>
          <w:rFonts w:ascii="Times New Roman" w:hAnsi="Times New Roman" w:cs="Times New Roman"/>
          <w:sz w:val="24"/>
          <w:szCs w:val="24"/>
          <w:lang w:val="lv-LV"/>
        </w:rPr>
      </w:pPr>
    </w:p>
    <w:p w:rsidR="00635CD1" w:rsidRDefault="00635CD1" w:rsidP="00635CD1">
      <w:pPr>
        <w:spacing w:after="0" w:line="240" w:lineRule="auto"/>
        <w:jc w:val="both"/>
        <w:rPr>
          <w:rFonts w:ascii="Times New Roman" w:eastAsia="Times New Roman" w:hAnsi="Times New Roman" w:cs="Times New Roman"/>
          <w:b/>
          <w:sz w:val="24"/>
          <w:szCs w:val="20"/>
          <w:u w:val="single"/>
          <w:lang w:val="lv-LV"/>
        </w:rPr>
      </w:pPr>
    </w:p>
    <w:p w:rsidR="00635CD1" w:rsidRPr="00767FED" w:rsidRDefault="00635CD1" w:rsidP="00635CD1">
      <w:pPr>
        <w:spacing w:after="0" w:line="240" w:lineRule="auto"/>
        <w:jc w:val="both"/>
        <w:rPr>
          <w:rFonts w:ascii="Times New Roman" w:hAnsi="Times New Roman" w:cs="Times New Roman"/>
          <w:b/>
          <w:sz w:val="24"/>
          <w:szCs w:val="24"/>
          <w:lang w:val="lv-LV"/>
        </w:rPr>
      </w:pPr>
      <w:r>
        <w:rPr>
          <w:rFonts w:ascii="Times New Roman" w:eastAsia="Times New Roman" w:hAnsi="Times New Roman" w:cs="Times New Roman"/>
          <w:b/>
          <w:sz w:val="24"/>
          <w:szCs w:val="20"/>
          <w:u w:val="single"/>
          <w:lang w:val="lv-LV"/>
        </w:rPr>
        <w:t xml:space="preserve">2. </w:t>
      </w:r>
      <w:r w:rsidR="007613CD">
        <w:rPr>
          <w:rFonts w:ascii="Times New Roman" w:eastAsia="Times New Roman" w:hAnsi="Times New Roman" w:cs="Times New Roman"/>
          <w:b/>
          <w:sz w:val="24"/>
          <w:szCs w:val="20"/>
          <w:u w:val="single"/>
          <w:lang w:val="lv-LV"/>
        </w:rPr>
        <w:t>j</w:t>
      </w:r>
      <w:r w:rsidRPr="007C35D6">
        <w:rPr>
          <w:rFonts w:ascii="Times New Roman" w:eastAsia="Times New Roman" w:hAnsi="Times New Roman" w:cs="Times New Roman"/>
          <w:b/>
          <w:sz w:val="24"/>
          <w:szCs w:val="20"/>
          <w:u w:val="single"/>
          <w:lang w:val="lv-LV"/>
        </w:rPr>
        <w:t>autājums</w:t>
      </w:r>
      <w:r w:rsidRPr="007C35D6">
        <w:rPr>
          <w:rFonts w:ascii="Times New Roman" w:eastAsia="Times New Roman" w:hAnsi="Times New Roman" w:cs="Times New Roman"/>
          <w:b/>
          <w:sz w:val="24"/>
          <w:szCs w:val="20"/>
          <w:lang w:val="lv-LV"/>
        </w:rPr>
        <w:t xml:space="preserve">: Vai iestādei ir pienākums nodrošināt privātajiem ieguldītājiem PRIIP pamatinformācijas dokumentu gadījumos, kad sabiedrība pēc klienta iniciatīvas nodrošina tikai privātā ieguldītāja rīkojumu pieņemšanu attiecībā uz </w:t>
      </w:r>
      <w:r w:rsidR="00AE3C51">
        <w:rPr>
          <w:rFonts w:ascii="Times New Roman" w:eastAsia="Times New Roman" w:hAnsi="Times New Roman" w:cs="Times New Roman"/>
          <w:b/>
          <w:sz w:val="24"/>
          <w:szCs w:val="20"/>
          <w:lang w:val="lv-LV"/>
        </w:rPr>
        <w:t xml:space="preserve">to </w:t>
      </w:r>
      <w:r w:rsidRPr="007C35D6">
        <w:rPr>
          <w:rFonts w:ascii="Times New Roman" w:eastAsia="Times New Roman" w:hAnsi="Times New Roman" w:cs="Times New Roman"/>
          <w:b/>
          <w:sz w:val="24"/>
          <w:szCs w:val="20"/>
          <w:lang w:val="lv-LV"/>
        </w:rPr>
        <w:t xml:space="preserve">finanšu instrumentu iegādi, kuri ir PRIIP produkti un kurus sabiedrība pati neizstrādā, nepiedāvā un </w:t>
      </w:r>
      <w:r>
        <w:rPr>
          <w:rFonts w:ascii="Times New Roman" w:eastAsia="Times New Roman" w:hAnsi="Times New Roman" w:cs="Times New Roman"/>
          <w:b/>
          <w:sz w:val="24"/>
          <w:szCs w:val="20"/>
          <w:lang w:val="lv-LV"/>
        </w:rPr>
        <w:t xml:space="preserve">aktīvi </w:t>
      </w:r>
      <w:r w:rsidRPr="007C35D6">
        <w:rPr>
          <w:rFonts w:ascii="Times New Roman" w:eastAsia="Times New Roman" w:hAnsi="Times New Roman" w:cs="Times New Roman"/>
          <w:b/>
          <w:sz w:val="24"/>
          <w:szCs w:val="20"/>
          <w:lang w:val="lv-LV"/>
        </w:rPr>
        <w:t>neizplata privātajiem ieguldītājiem?</w:t>
      </w:r>
    </w:p>
    <w:p w:rsidR="006A3833" w:rsidRDefault="00635CD1" w:rsidP="00635CD1">
      <w:pPr>
        <w:spacing w:after="0" w:line="240" w:lineRule="auto"/>
        <w:jc w:val="both"/>
        <w:rPr>
          <w:rFonts w:ascii="Times New Roman" w:eastAsia="Times New Roman" w:hAnsi="Times New Roman" w:cs="Times New Roman"/>
          <w:sz w:val="24"/>
          <w:szCs w:val="20"/>
          <w:lang w:val="lv-LV"/>
        </w:rPr>
      </w:pPr>
      <w:r>
        <w:rPr>
          <w:rFonts w:ascii="Times New Roman" w:hAnsi="Times New Roman" w:cs="Times New Roman"/>
          <w:sz w:val="24"/>
          <w:szCs w:val="24"/>
          <w:lang w:val="lv-LV"/>
        </w:rPr>
        <w:lastRenderedPageBreak/>
        <w:br/>
      </w:r>
      <w:r w:rsidRPr="007C35D6">
        <w:rPr>
          <w:rFonts w:ascii="Times New Roman" w:eastAsia="Times New Roman" w:hAnsi="Times New Roman" w:cs="Times New Roman"/>
          <w:b/>
          <w:sz w:val="24"/>
          <w:szCs w:val="20"/>
          <w:u w:val="single"/>
          <w:lang w:val="lv-LV"/>
        </w:rPr>
        <w:t>Atbilde</w:t>
      </w:r>
      <w:r w:rsidRPr="007C35D6">
        <w:rPr>
          <w:rFonts w:ascii="Times New Roman" w:eastAsia="Times New Roman" w:hAnsi="Times New Roman" w:cs="Times New Roman"/>
          <w:sz w:val="24"/>
          <w:szCs w:val="20"/>
          <w:lang w:val="lv-LV"/>
        </w:rPr>
        <w:t xml:space="preserve">: FKTK iesaka iepazīties ar </w:t>
      </w:r>
      <w:r>
        <w:rPr>
          <w:rFonts w:ascii="Times New Roman" w:eastAsia="Times New Roman" w:hAnsi="Times New Roman" w:cs="Times New Roman"/>
          <w:sz w:val="24"/>
          <w:szCs w:val="20"/>
          <w:lang w:val="lv-LV"/>
        </w:rPr>
        <w:t>p</w:t>
      </w:r>
      <w:r w:rsidRPr="007C35D6">
        <w:rPr>
          <w:rFonts w:ascii="Times New Roman" w:eastAsia="Times New Roman" w:hAnsi="Times New Roman" w:cs="Times New Roman"/>
          <w:sz w:val="24"/>
          <w:szCs w:val="20"/>
          <w:lang w:val="lv-LV"/>
        </w:rPr>
        <w:t>amatnostādņu</w:t>
      </w:r>
      <w:r w:rsidRPr="007C35D6">
        <w:rPr>
          <w:rFonts w:eastAsia="Times New Roman"/>
          <w:sz w:val="24"/>
          <w:szCs w:val="20"/>
          <w:vertAlign w:val="superscript"/>
          <w:lang w:val="lv-LV"/>
        </w:rPr>
        <w:footnoteReference w:id="1"/>
      </w:r>
      <w:r w:rsidRPr="007C35D6">
        <w:rPr>
          <w:rFonts w:ascii="Times New Roman" w:eastAsia="Times New Roman" w:hAnsi="Times New Roman" w:cs="Times New Roman"/>
          <w:sz w:val="24"/>
          <w:szCs w:val="20"/>
          <w:lang w:val="lv-LV"/>
        </w:rPr>
        <w:t xml:space="preserve"> </w:t>
      </w:r>
      <w:r w:rsidR="00C65EBA">
        <w:rPr>
          <w:rFonts w:ascii="Times New Roman" w:eastAsia="Times New Roman" w:hAnsi="Times New Roman" w:cs="Times New Roman"/>
          <w:sz w:val="24"/>
          <w:szCs w:val="20"/>
          <w:lang w:val="lv-LV"/>
        </w:rPr>
        <w:t xml:space="preserve">16. un </w:t>
      </w:r>
      <w:r w:rsidR="00DF7BDD" w:rsidRPr="007C35D6">
        <w:rPr>
          <w:rFonts w:ascii="Times New Roman" w:eastAsia="Times New Roman" w:hAnsi="Times New Roman" w:cs="Times New Roman"/>
          <w:sz w:val="24"/>
          <w:szCs w:val="20"/>
          <w:lang w:val="lv-LV"/>
        </w:rPr>
        <w:t>18. punkt</w:t>
      </w:r>
      <w:r w:rsidR="00DF7BDD">
        <w:rPr>
          <w:rFonts w:ascii="Times New Roman" w:eastAsia="Times New Roman" w:hAnsi="Times New Roman" w:cs="Times New Roman"/>
          <w:sz w:val="24"/>
          <w:szCs w:val="20"/>
          <w:lang w:val="lv-LV"/>
        </w:rPr>
        <w:t>ā</w:t>
      </w:r>
      <w:r w:rsidR="00C65EBA" w:rsidRPr="007C35D6">
        <w:rPr>
          <w:rFonts w:ascii="Times New Roman" w:eastAsia="Times New Roman" w:hAnsi="Times New Roman" w:cs="Times New Roman"/>
          <w:sz w:val="24"/>
          <w:szCs w:val="20"/>
          <w:lang w:val="lv-LV"/>
        </w:rPr>
        <w:t xml:space="preserve"> </w:t>
      </w:r>
      <w:r w:rsidRPr="007C35D6">
        <w:rPr>
          <w:rFonts w:ascii="Times New Roman" w:eastAsia="Times New Roman" w:hAnsi="Times New Roman" w:cs="Times New Roman"/>
          <w:sz w:val="24"/>
          <w:szCs w:val="20"/>
          <w:lang w:val="lv-LV"/>
        </w:rPr>
        <w:t xml:space="preserve">minēto. </w:t>
      </w:r>
      <w:r w:rsidR="00A21113">
        <w:rPr>
          <w:rFonts w:ascii="Times New Roman" w:eastAsia="Times New Roman" w:hAnsi="Times New Roman" w:cs="Times New Roman"/>
          <w:sz w:val="24"/>
          <w:szCs w:val="20"/>
          <w:lang w:val="lv-LV"/>
        </w:rPr>
        <w:t>FKTK</w:t>
      </w:r>
      <w:r w:rsidR="00A21113" w:rsidRPr="007C35D6">
        <w:rPr>
          <w:rFonts w:ascii="Times New Roman" w:eastAsia="Times New Roman" w:hAnsi="Times New Roman" w:cs="Times New Roman"/>
          <w:sz w:val="24"/>
          <w:szCs w:val="20"/>
          <w:lang w:val="lv-LV"/>
        </w:rPr>
        <w:t xml:space="preserve"> </w:t>
      </w:r>
      <w:r w:rsidRPr="007C35D6">
        <w:rPr>
          <w:rFonts w:ascii="Times New Roman" w:eastAsia="Times New Roman" w:hAnsi="Times New Roman" w:cs="Times New Roman"/>
          <w:sz w:val="24"/>
          <w:szCs w:val="20"/>
          <w:lang w:val="lv-LV"/>
        </w:rPr>
        <w:t xml:space="preserve">paskaidro, ka PRIIP termins "izplatīšana" ir </w:t>
      </w:r>
      <w:r w:rsidR="006A3833">
        <w:rPr>
          <w:rFonts w:ascii="Times New Roman" w:eastAsia="Times New Roman" w:hAnsi="Times New Roman" w:cs="Times New Roman"/>
          <w:sz w:val="24"/>
          <w:szCs w:val="20"/>
          <w:lang w:val="lv-LV"/>
        </w:rPr>
        <w:t>skaidrojams</w:t>
      </w:r>
      <w:r w:rsidR="006A3833" w:rsidRPr="007C35D6">
        <w:rPr>
          <w:rFonts w:ascii="Times New Roman" w:eastAsia="Times New Roman" w:hAnsi="Times New Roman" w:cs="Times New Roman"/>
          <w:sz w:val="24"/>
          <w:szCs w:val="20"/>
          <w:lang w:val="lv-LV"/>
        </w:rPr>
        <w:t xml:space="preserve"> </w:t>
      </w:r>
      <w:r w:rsidRPr="007C35D6">
        <w:rPr>
          <w:rFonts w:ascii="Times New Roman" w:eastAsia="Times New Roman" w:hAnsi="Times New Roman" w:cs="Times New Roman"/>
          <w:sz w:val="24"/>
          <w:szCs w:val="20"/>
          <w:lang w:val="lv-LV"/>
        </w:rPr>
        <w:t xml:space="preserve">pēc analoģijas ar terminu "izplatītājs" Noteikumu </w:t>
      </w:r>
      <w:r w:rsidR="00A21113">
        <w:rPr>
          <w:rFonts w:ascii="Times New Roman" w:eastAsia="Times New Roman" w:hAnsi="Times New Roman" w:cs="Times New Roman"/>
          <w:sz w:val="24"/>
          <w:szCs w:val="20"/>
          <w:lang w:val="lv-LV"/>
        </w:rPr>
        <w:t>Nr. </w:t>
      </w:r>
      <w:r w:rsidRPr="007C35D6">
        <w:rPr>
          <w:rFonts w:ascii="Times New Roman" w:eastAsia="Times New Roman" w:hAnsi="Times New Roman" w:cs="Times New Roman"/>
          <w:sz w:val="24"/>
          <w:szCs w:val="20"/>
          <w:lang w:val="lv-LV"/>
        </w:rPr>
        <w:t xml:space="preserve">139. 3.3. panta izpratnē, proti, ietver jebkuru produkta pārdošanu, gan aktīvi piedāvājot ieguldījumu produktu (Noteikumu </w:t>
      </w:r>
      <w:r w:rsidR="00A21113">
        <w:rPr>
          <w:rFonts w:ascii="Times New Roman" w:eastAsia="Times New Roman" w:hAnsi="Times New Roman" w:cs="Times New Roman"/>
          <w:sz w:val="24"/>
          <w:szCs w:val="20"/>
          <w:lang w:val="lv-LV"/>
        </w:rPr>
        <w:t>Nr. </w:t>
      </w:r>
      <w:r w:rsidRPr="007C35D6">
        <w:rPr>
          <w:rFonts w:ascii="Times New Roman" w:eastAsia="Times New Roman" w:hAnsi="Times New Roman" w:cs="Times New Roman"/>
          <w:sz w:val="24"/>
          <w:szCs w:val="20"/>
          <w:lang w:val="lv-LV"/>
        </w:rPr>
        <w:t xml:space="preserve">139 3.3.2.–3.3.7. </w:t>
      </w:r>
      <w:r w:rsidR="00A21113">
        <w:rPr>
          <w:rFonts w:ascii="Times New Roman" w:eastAsia="Times New Roman" w:hAnsi="Times New Roman" w:cs="Times New Roman"/>
          <w:sz w:val="24"/>
          <w:szCs w:val="20"/>
          <w:lang w:val="lv-LV"/>
        </w:rPr>
        <w:t xml:space="preserve">punktā minētās </w:t>
      </w:r>
      <w:r w:rsidRPr="007C35D6">
        <w:rPr>
          <w:rFonts w:ascii="Times New Roman" w:eastAsia="Times New Roman" w:hAnsi="Times New Roman" w:cs="Times New Roman"/>
          <w:sz w:val="24"/>
          <w:szCs w:val="20"/>
          <w:lang w:val="lv-LV"/>
        </w:rPr>
        <w:t xml:space="preserve">darbības), gan tikai pārdodot ieguldījumu produktu pēc klienta iniciatīvas (Noteikumu </w:t>
      </w:r>
      <w:r w:rsidR="00A21113">
        <w:rPr>
          <w:rFonts w:ascii="Times New Roman" w:eastAsia="Times New Roman" w:hAnsi="Times New Roman" w:cs="Times New Roman"/>
          <w:sz w:val="24"/>
          <w:szCs w:val="20"/>
          <w:lang w:val="lv-LV"/>
        </w:rPr>
        <w:t>Nr. </w:t>
      </w:r>
      <w:r w:rsidRPr="007C35D6">
        <w:rPr>
          <w:rFonts w:ascii="Times New Roman" w:eastAsia="Times New Roman" w:hAnsi="Times New Roman" w:cs="Times New Roman"/>
          <w:sz w:val="24"/>
          <w:szCs w:val="20"/>
          <w:lang w:val="lv-LV"/>
        </w:rPr>
        <w:t>1</w:t>
      </w:r>
      <w:r w:rsidR="00A21113">
        <w:rPr>
          <w:rFonts w:ascii="Times New Roman" w:eastAsia="Times New Roman" w:hAnsi="Times New Roman" w:cs="Times New Roman"/>
          <w:sz w:val="24"/>
          <w:szCs w:val="20"/>
          <w:lang w:val="lv-LV"/>
        </w:rPr>
        <w:t>3</w:t>
      </w:r>
      <w:r w:rsidRPr="007C35D6">
        <w:rPr>
          <w:rFonts w:ascii="Times New Roman" w:eastAsia="Times New Roman" w:hAnsi="Times New Roman" w:cs="Times New Roman"/>
          <w:sz w:val="24"/>
          <w:szCs w:val="20"/>
          <w:lang w:val="lv-LV"/>
        </w:rPr>
        <w:t>9 3.3.1. punkt</w:t>
      </w:r>
      <w:r w:rsidR="00A21113">
        <w:rPr>
          <w:rFonts w:ascii="Times New Roman" w:eastAsia="Times New Roman" w:hAnsi="Times New Roman" w:cs="Times New Roman"/>
          <w:sz w:val="24"/>
          <w:szCs w:val="20"/>
          <w:lang w:val="lv-LV"/>
        </w:rPr>
        <w:t>ā</w:t>
      </w:r>
      <w:r w:rsidRPr="007C35D6">
        <w:rPr>
          <w:rFonts w:ascii="Times New Roman" w:eastAsia="Times New Roman" w:hAnsi="Times New Roman" w:cs="Times New Roman"/>
          <w:sz w:val="24"/>
          <w:szCs w:val="20"/>
          <w:lang w:val="lv-LV"/>
        </w:rPr>
        <w:t xml:space="preserve"> minēt</w:t>
      </w:r>
      <w:r w:rsidR="00A21113">
        <w:rPr>
          <w:rFonts w:ascii="Times New Roman" w:eastAsia="Times New Roman" w:hAnsi="Times New Roman" w:cs="Times New Roman"/>
          <w:sz w:val="24"/>
          <w:szCs w:val="20"/>
          <w:lang w:val="lv-LV"/>
        </w:rPr>
        <w:t>ā</w:t>
      </w:r>
      <w:r w:rsidRPr="007C35D6">
        <w:rPr>
          <w:rFonts w:ascii="Times New Roman" w:eastAsia="Times New Roman" w:hAnsi="Times New Roman" w:cs="Times New Roman"/>
          <w:sz w:val="24"/>
          <w:szCs w:val="20"/>
          <w:lang w:val="lv-LV"/>
        </w:rPr>
        <w:t xml:space="preserve"> darbība). PRIIP piemērošan</w:t>
      </w:r>
      <w:r w:rsidR="006A3833">
        <w:rPr>
          <w:rFonts w:ascii="Times New Roman" w:eastAsia="Times New Roman" w:hAnsi="Times New Roman" w:cs="Times New Roman"/>
          <w:sz w:val="24"/>
          <w:szCs w:val="20"/>
          <w:lang w:val="lv-LV"/>
        </w:rPr>
        <w:t>a</w:t>
      </w:r>
      <w:r w:rsidRPr="007C35D6">
        <w:rPr>
          <w:rFonts w:ascii="Times New Roman" w:eastAsia="Times New Roman" w:hAnsi="Times New Roman" w:cs="Times New Roman"/>
          <w:sz w:val="24"/>
          <w:szCs w:val="20"/>
          <w:lang w:val="lv-LV"/>
        </w:rPr>
        <w:t xml:space="preserve"> attiecībā uz OTC derivatīviem un </w:t>
      </w:r>
      <w:r w:rsidRPr="00F408E2">
        <w:rPr>
          <w:rFonts w:ascii="Times New Roman" w:eastAsia="Times New Roman" w:hAnsi="Times New Roman" w:cs="Times New Roman"/>
          <w:i/>
          <w:sz w:val="24"/>
          <w:szCs w:val="20"/>
          <w:lang w:val="lv-LV"/>
        </w:rPr>
        <w:t>FX forwards</w:t>
      </w:r>
      <w:r w:rsidRPr="007C35D6">
        <w:rPr>
          <w:rFonts w:ascii="Times New Roman" w:eastAsia="Times New Roman" w:hAnsi="Times New Roman" w:cs="Times New Roman"/>
          <w:sz w:val="24"/>
          <w:szCs w:val="20"/>
          <w:lang w:val="lv-LV"/>
        </w:rPr>
        <w:t xml:space="preserve"> darījumiem skaidro</w:t>
      </w:r>
      <w:r w:rsidR="006A3833">
        <w:rPr>
          <w:rFonts w:ascii="Times New Roman" w:eastAsia="Times New Roman" w:hAnsi="Times New Roman" w:cs="Times New Roman"/>
          <w:sz w:val="24"/>
          <w:szCs w:val="20"/>
          <w:lang w:val="lv-LV"/>
        </w:rPr>
        <w:t>ta</w:t>
      </w:r>
      <w:r w:rsidRPr="007C35D6">
        <w:rPr>
          <w:rFonts w:ascii="Times New Roman" w:eastAsia="Times New Roman" w:hAnsi="Times New Roman" w:cs="Times New Roman"/>
          <w:sz w:val="24"/>
          <w:szCs w:val="20"/>
          <w:lang w:val="lv-LV"/>
        </w:rPr>
        <w:t xml:space="preserve"> Eiropas uzraudzības i</w:t>
      </w:r>
      <w:r w:rsidR="00A21113">
        <w:rPr>
          <w:rFonts w:ascii="Times New Roman" w:eastAsia="Times New Roman" w:hAnsi="Times New Roman" w:cs="Times New Roman"/>
          <w:sz w:val="24"/>
          <w:szCs w:val="20"/>
          <w:lang w:val="lv-LV"/>
        </w:rPr>
        <w:t>e</w:t>
      </w:r>
      <w:r w:rsidRPr="007C35D6">
        <w:rPr>
          <w:rFonts w:ascii="Times New Roman" w:eastAsia="Times New Roman" w:hAnsi="Times New Roman" w:cs="Times New Roman"/>
          <w:sz w:val="24"/>
          <w:szCs w:val="20"/>
          <w:lang w:val="lv-LV"/>
        </w:rPr>
        <w:t>stāžu publicēt</w:t>
      </w:r>
      <w:r w:rsidR="006A3833">
        <w:rPr>
          <w:rFonts w:ascii="Times New Roman" w:eastAsia="Times New Roman" w:hAnsi="Times New Roman" w:cs="Times New Roman"/>
          <w:sz w:val="24"/>
          <w:szCs w:val="20"/>
          <w:lang w:val="lv-LV"/>
        </w:rPr>
        <w:t>ajos</w:t>
      </w:r>
      <w:r w:rsidRPr="007C35D6">
        <w:rPr>
          <w:rFonts w:ascii="Times New Roman" w:eastAsia="Times New Roman" w:hAnsi="Times New Roman" w:cs="Times New Roman"/>
          <w:sz w:val="24"/>
          <w:szCs w:val="20"/>
          <w:lang w:val="lv-LV"/>
        </w:rPr>
        <w:t xml:space="preserve"> jautājum</w:t>
      </w:r>
      <w:r w:rsidR="006A3833">
        <w:rPr>
          <w:rFonts w:ascii="Times New Roman" w:eastAsia="Times New Roman" w:hAnsi="Times New Roman" w:cs="Times New Roman"/>
          <w:sz w:val="24"/>
          <w:szCs w:val="20"/>
          <w:lang w:val="lv-LV"/>
        </w:rPr>
        <w:t>os</w:t>
      </w:r>
      <w:r w:rsidRPr="007C35D6">
        <w:rPr>
          <w:rFonts w:ascii="Times New Roman" w:eastAsia="Times New Roman" w:hAnsi="Times New Roman" w:cs="Times New Roman"/>
          <w:sz w:val="24"/>
          <w:szCs w:val="20"/>
          <w:lang w:val="lv-LV"/>
        </w:rPr>
        <w:t xml:space="preserve"> un atbild</w:t>
      </w:r>
      <w:r w:rsidR="006A3833">
        <w:rPr>
          <w:rFonts w:ascii="Times New Roman" w:eastAsia="Times New Roman" w:hAnsi="Times New Roman" w:cs="Times New Roman"/>
          <w:sz w:val="24"/>
          <w:szCs w:val="20"/>
          <w:lang w:val="lv-LV"/>
        </w:rPr>
        <w:t>ē</w:t>
      </w:r>
      <w:r w:rsidRPr="007C35D6">
        <w:rPr>
          <w:rFonts w:ascii="Times New Roman" w:eastAsia="Times New Roman" w:hAnsi="Times New Roman" w:cs="Times New Roman"/>
          <w:sz w:val="24"/>
          <w:szCs w:val="20"/>
          <w:lang w:val="lv-LV"/>
        </w:rPr>
        <w:t>s (24</w:t>
      </w:r>
      <w:r w:rsidR="00A21113">
        <w:rPr>
          <w:rFonts w:ascii="Times New Roman" w:eastAsia="Times New Roman" w:hAnsi="Times New Roman" w:cs="Times New Roman"/>
          <w:sz w:val="24"/>
          <w:szCs w:val="20"/>
          <w:lang w:val="lv-LV"/>
        </w:rPr>
        <w:t>.</w:t>
      </w:r>
      <w:r w:rsidRPr="007C35D6">
        <w:rPr>
          <w:rFonts w:ascii="Times New Roman" w:eastAsia="Times New Roman" w:hAnsi="Times New Roman" w:cs="Times New Roman"/>
          <w:sz w:val="24"/>
          <w:szCs w:val="20"/>
          <w:lang w:val="lv-LV"/>
        </w:rPr>
        <w:t>–29.</w:t>
      </w:r>
      <w:r w:rsidR="00A21113">
        <w:rPr>
          <w:rFonts w:ascii="Times New Roman" w:eastAsia="Times New Roman" w:hAnsi="Times New Roman" w:cs="Times New Roman"/>
          <w:sz w:val="24"/>
          <w:szCs w:val="20"/>
          <w:lang w:val="lv-LV"/>
        </w:rPr>
        <w:t> </w:t>
      </w:r>
      <w:r w:rsidRPr="007C35D6">
        <w:rPr>
          <w:rFonts w:ascii="Times New Roman" w:eastAsia="Times New Roman" w:hAnsi="Times New Roman" w:cs="Times New Roman"/>
          <w:sz w:val="24"/>
          <w:szCs w:val="20"/>
          <w:lang w:val="lv-LV"/>
        </w:rPr>
        <w:t>lpp</w:t>
      </w:r>
      <w:r w:rsidR="00A21113">
        <w:rPr>
          <w:rFonts w:ascii="Times New Roman" w:eastAsia="Times New Roman" w:hAnsi="Times New Roman" w:cs="Times New Roman"/>
          <w:sz w:val="24"/>
          <w:szCs w:val="20"/>
          <w:lang w:val="lv-LV"/>
        </w:rPr>
        <w:t>.</w:t>
      </w:r>
      <w:r w:rsidRPr="007C35D6">
        <w:rPr>
          <w:rFonts w:ascii="Times New Roman" w:eastAsia="Times New Roman" w:hAnsi="Times New Roman" w:cs="Times New Roman"/>
          <w:sz w:val="24"/>
          <w:szCs w:val="20"/>
          <w:lang w:val="lv-LV"/>
        </w:rPr>
        <w:t>):</w:t>
      </w:r>
      <w:r w:rsidR="00551E80">
        <w:rPr>
          <w:rFonts w:ascii="Times New Roman" w:eastAsia="Times New Roman" w:hAnsi="Times New Roman" w:cs="Times New Roman"/>
          <w:sz w:val="24"/>
          <w:szCs w:val="20"/>
          <w:lang w:val="lv-LV"/>
        </w:rPr>
        <w:t xml:space="preserve"> </w:t>
      </w:r>
      <w:hyperlink r:id="rId8" w:history="1">
        <w:r w:rsidR="00551E80" w:rsidRPr="00AE16B1">
          <w:rPr>
            <w:rStyle w:val="Hyperlink"/>
            <w:rFonts w:ascii="Times New Roman" w:eastAsia="Times New Roman" w:hAnsi="Times New Roman" w:cs="Times New Roman"/>
            <w:sz w:val="24"/>
            <w:szCs w:val="20"/>
            <w:lang w:val="lv-LV"/>
          </w:rPr>
          <w:t>https://esas-joint-committee.europa.eu/Publications/Technical%20Standards/JC%202017%2049%20(PRIIPs_QA_update_July_2018).pdf</w:t>
        </w:r>
      </w:hyperlink>
      <w:r w:rsidR="00551E80">
        <w:rPr>
          <w:rFonts w:ascii="Times New Roman" w:eastAsia="Times New Roman" w:hAnsi="Times New Roman" w:cs="Times New Roman"/>
          <w:sz w:val="24"/>
          <w:szCs w:val="20"/>
          <w:lang w:val="lv-LV"/>
        </w:rPr>
        <w:t xml:space="preserve"> </w:t>
      </w:r>
    </w:p>
    <w:p w:rsidR="00551E80" w:rsidRPr="007C35D6" w:rsidRDefault="00551E80" w:rsidP="00635CD1">
      <w:pPr>
        <w:spacing w:after="0" w:line="240" w:lineRule="auto"/>
        <w:jc w:val="both"/>
        <w:rPr>
          <w:szCs w:val="24"/>
          <w:lang w:val="lv-LV"/>
        </w:rPr>
      </w:pPr>
    </w:p>
    <w:p w:rsidR="00635CD1" w:rsidRDefault="00635CD1" w:rsidP="00635CD1">
      <w:pPr>
        <w:spacing w:after="0" w:line="240" w:lineRule="auto"/>
        <w:jc w:val="both"/>
        <w:rPr>
          <w:rFonts w:ascii="Times New Roman" w:hAnsi="Times New Roman" w:cs="Times New Roman"/>
          <w:b/>
          <w:sz w:val="24"/>
          <w:szCs w:val="24"/>
          <w:lang w:val="lv-LV"/>
        </w:rPr>
      </w:pPr>
      <w:r>
        <w:rPr>
          <w:rFonts w:ascii="Times New Roman" w:eastAsia="Times New Roman" w:hAnsi="Times New Roman" w:cs="Times New Roman"/>
          <w:b/>
          <w:sz w:val="24"/>
          <w:szCs w:val="20"/>
          <w:u w:val="single"/>
          <w:lang w:val="lv-LV"/>
        </w:rPr>
        <w:t xml:space="preserve">3. </w:t>
      </w:r>
      <w:r w:rsidRPr="007C35D6">
        <w:rPr>
          <w:rFonts w:ascii="Times New Roman" w:eastAsia="Times New Roman" w:hAnsi="Times New Roman" w:cs="Times New Roman"/>
          <w:b/>
          <w:sz w:val="24"/>
          <w:szCs w:val="20"/>
          <w:u w:val="single"/>
          <w:lang w:val="lv-LV"/>
        </w:rPr>
        <w:t>jautājums:</w:t>
      </w:r>
      <w:r w:rsidRPr="007C35D6">
        <w:rPr>
          <w:b/>
          <w:lang w:val="lv-LV"/>
        </w:rPr>
        <w:t xml:space="preserve"> </w:t>
      </w:r>
      <w:r w:rsidRPr="007C35D6">
        <w:rPr>
          <w:rFonts w:ascii="Times New Roman" w:hAnsi="Times New Roman" w:cs="Times New Roman"/>
          <w:b/>
          <w:sz w:val="24"/>
          <w:szCs w:val="24"/>
          <w:lang w:val="lv-LV"/>
        </w:rPr>
        <w:t xml:space="preserve">Ņemot vērā, ka termins "izplatīšana" FITL produktu pārvaldības un PRIIP kontekstā ir traktējams plaši, proti, </w:t>
      </w:r>
      <w:r w:rsidR="006A3833">
        <w:rPr>
          <w:rFonts w:ascii="Times New Roman" w:hAnsi="Times New Roman" w:cs="Times New Roman"/>
          <w:b/>
          <w:sz w:val="24"/>
          <w:szCs w:val="24"/>
          <w:lang w:val="lv-LV"/>
        </w:rPr>
        <w:t xml:space="preserve">tas </w:t>
      </w:r>
      <w:r w:rsidRPr="007C35D6">
        <w:rPr>
          <w:rFonts w:ascii="Times New Roman" w:hAnsi="Times New Roman" w:cs="Times New Roman"/>
          <w:b/>
          <w:sz w:val="24"/>
          <w:szCs w:val="24"/>
          <w:lang w:val="lv-LV"/>
        </w:rPr>
        <w:t>ietver vienreizēju fondu daļas pārdošan</w:t>
      </w:r>
      <w:r w:rsidR="00A21113">
        <w:rPr>
          <w:rFonts w:ascii="Times New Roman" w:hAnsi="Times New Roman" w:cs="Times New Roman"/>
          <w:b/>
          <w:sz w:val="24"/>
          <w:szCs w:val="24"/>
          <w:lang w:val="lv-LV"/>
        </w:rPr>
        <w:t>u</w:t>
      </w:r>
      <w:r w:rsidRPr="007C35D6">
        <w:rPr>
          <w:rFonts w:ascii="Times New Roman" w:hAnsi="Times New Roman" w:cs="Times New Roman"/>
          <w:b/>
          <w:sz w:val="24"/>
          <w:szCs w:val="24"/>
          <w:lang w:val="lv-LV"/>
        </w:rPr>
        <w:t xml:space="preserve"> pēc klienta iniciatīvas, vai šajā gadījumā arī atbilstoši UCITS </w:t>
      </w:r>
      <w:r w:rsidR="00250D07">
        <w:rPr>
          <w:rFonts w:ascii="Times New Roman" w:hAnsi="Times New Roman" w:cs="Times New Roman"/>
          <w:b/>
          <w:sz w:val="24"/>
          <w:szCs w:val="24"/>
          <w:lang w:val="lv-LV"/>
        </w:rPr>
        <w:t xml:space="preserve">un </w:t>
      </w:r>
      <w:r w:rsidR="00A21113" w:rsidRPr="006E14A7">
        <w:rPr>
          <w:rFonts w:ascii="Times New Roman" w:hAnsi="Times New Roman" w:cs="Times New Roman"/>
          <w:b/>
          <w:bCs/>
          <w:sz w:val="24"/>
          <w:szCs w:val="24"/>
          <w:shd w:val="clear" w:color="auto" w:fill="FFFFFF"/>
          <w:lang w:val="lv-LV"/>
        </w:rPr>
        <w:t>Alternatīvo ieguldījumu fondu un to pārvaldnieku</w:t>
      </w:r>
      <w:r w:rsidR="00250D07" w:rsidRPr="00250D07">
        <w:rPr>
          <w:rFonts w:ascii="Times New Roman" w:hAnsi="Times New Roman" w:cs="Times New Roman"/>
          <w:b/>
          <w:sz w:val="24"/>
          <w:szCs w:val="24"/>
          <w:lang w:val="lv-LV"/>
        </w:rPr>
        <w:t xml:space="preserve"> likum</w:t>
      </w:r>
      <w:r w:rsidR="00A21113">
        <w:rPr>
          <w:rFonts w:ascii="Times New Roman" w:hAnsi="Times New Roman" w:cs="Times New Roman"/>
          <w:b/>
          <w:sz w:val="24"/>
          <w:szCs w:val="24"/>
          <w:lang w:val="lv-LV"/>
        </w:rPr>
        <w:t>a</w:t>
      </w:r>
      <w:r w:rsidR="00250D07" w:rsidRPr="00250D07">
        <w:rPr>
          <w:rFonts w:ascii="Times New Roman" w:hAnsi="Times New Roman" w:cs="Times New Roman"/>
          <w:b/>
          <w:sz w:val="24"/>
          <w:szCs w:val="24"/>
          <w:lang w:val="lv-LV"/>
        </w:rPr>
        <w:t xml:space="preserve"> </w:t>
      </w:r>
      <w:r w:rsidRPr="007C35D6">
        <w:rPr>
          <w:rFonts w:ascii="Times New Roman" w:hAnsi="Times New Roman" w:cs="Times New Roman"/>
          <w:b/>
          <w:sz w:val="24"/>
          <w:szCs w:val="24"/>
          <w:lang w:val="lv-LV"/>
        </w:rPr>
        <w:t>regulējumam ir jāsaņem atļauja attiecīg</w:t>
      </w:r>
      <w:r w:rsidR="00AE3C51">
        <w:rPr>
          <w:rFonts w:ascii="Times New Roman" w:hAnsi="Times New Roman" w:cs="Times New Roman"/>
          <w:b/>
          <w:sz w:val="24"/>
          <w:szCs w:val="24"/>
          <w:lang w:val="lv-LV"/>
        </w:rPr>
        <w:t>ā</w:t>
      </w:r>
      <w:r w:rsidRPr="007C35D6">
        <w:rPr>
          <w:rFonts w:ascii="Times New Roman" w:hAnsi="Times New Roman" w:cs="Times New Roman"/>
          <w:b/>
          <w:sz w:val="24"/>
          <w:szCs w:val="24"/>
          <w:lang w:val="lv-LV"/>
        </w:rPr>
        <w:t xml:space="preserve"> fonda izplatīšanai?   </w:t>
      </w:r>
      <w:r>
        <w:rPr>
          <w:rFonts w:ascii="Times New Roman" w:hAnsi="Times New Roman" w:cs="Times New Roman"/>
          <w:b/>
          <w:sz w:val="24"/>
          <w:szCs w:val="24"/>
          <w:lang w:val="lv-LV"/>
        </w:rPr>
        <w:t xml:space="preserve"> </w:t>
      </w:r>
      <w:r w:rsidRPr="007C62A5">
        <w:rPr>
          <w:rFonts w:ascii="Times New Roman" w:hAnsi="Times New Roman" w:cs="Times New Roman"/>
          <w:b/>
          <w:sz w:val="24"/>
          <w:szCs w:val="24"/>
          <w:lang w:val="lv-LV"/>
        </w:rPr>
        <w:t xml:space="preserve"> </w:t>
      </w:r>
      <w:r>
        <w:rPr>
          <w:rFonts w:ascii="Times New Roman" w:hAnsi="Times New Roman" w:cs="Times New Roman"/>
          <w:b/>
          <w:sz w:val="24"/>
          <w:szCs w:val="24"/>
          <w:lang w:val="lv-LV"/>
        </w:rPr>
        <w:t xml:space="preserve"> </w:t>
      </w:r>
    </w:p>
    <w:p w:rsidR="00635CD1" w:rsidRPr="007C62A5" w:rsidRDefault="00635CD1" w:rsidP="00635CD1">
      <w:pPr>
        <w:tabs>
          <w:tab w:val="left" w:pos="6120"/>
        </w:tabs>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ab/>
      </w:r>
    </w:p>
    <w:p w:rsidR="00635CD1" w:rsidRDefault="00635CD1" w:rsidP="00635CD1">
      <w:pPr>
        <w:spacing w:after="0" w:line="240" w:lineRule="auto"/>
        <w:jc w:val="both"/>
        <w:rPr>
          <w:rFonts w:ascii="Times New Roman" w:hAnsi="Times New Roman" w:cs="Times New Roman"/>
          <w:sz w:val="24"/>
          <w:szCs w:val="24"/>
          <w:lang w:val="lv-LV"/>
        </w:rPr>
      </w:pPr>
      <w:r w:rsidRPr="006628B8">
        <w:rPr>
          <w:rFonts w:ascii="Times New Roman" w:eastAsia="Times New Roman" w:hAnsi="Times New Roman" w:cs="Times New Roman"/>
          <w:b/>
          <w:sz w:val="24"/>
          <w:szCs w:val="20"/>
          <w:u w:val="single"/>
          <w:lang w:val="lv-LV"/>
        </w:rPr>
        <w:t>Atbilde:</w:t>
      </w:r>
      <w:r w:rsidRPr="007C62A5">
        <w:rPr>
          <w:lang w:val="lv-LV"/>
        </w:rPr>
        <w:t xml:space="preserve"> </w:t>
      </w:r>
      <w:r w:rsidRPr="007C35D6">
        <w:rPr>
          <w:rFonts w:ascii="Times New Roman" w:hAnsi="Times New Roman" w:cs="Times New Roman"/>
          <w:sz w:val="24"/>
          <w:szCs w:val="24"/>
          <w:lang w:val="lv-LV"/>
        </w:rPr>
        <w:t>Nē</w:t>
      </w:r>
      <w:r w:rsidR="00A21113">
        <w:rPr>
          <w:rFonts w:ascii="Times New Roman" w:hAnsi="Times New Roman" w:cs="Times New Roman"/>
          <w:sz w:val="24"/>
          <w:szCs w:val="24"/>
          <w:lang w:val="lv-LV"/>
        </w:rPr>
        <w:t>,</w:t>
      </w:r>
      <w:r w:rsidRPr="007C35D6">
        <w:rPr>
          <w:rFonts w:ascii="Times New Roman" w:hAnsi="Times New Roman" w:cs="Times New Roman"/>
          <w:sz w:val="24"/>
          <w:szCs w:val="24"/>
          <w:lang w:val="lv-LV"/>
        </w:rPr>
        <w:t xml:space="preserve"> UCITS kontekstā izplatīšanas jēdziens ir saprotams šaurāk nekā PRIIP un FITL kontekstā. Latvijā reģistrēto ieguldījumu fondu ieguldījumu apliecību izplatīšanas kārtība dalībvalstī ir noteikta Ieguldījumu pārvaldes sabiedrību likuma 77.</w:t>
      </w:r>
      <w:r w:rsidRPr="00807F90">
        <w:rPr>
          <w:rFonts w:ascii="Times New Roman" w:hAnsi="Times New Roman" w:cs="Times New Roman"/>
          <w:sz w:val="24"/>
          <w:szCs w:val="24"/>
          <w:vertAlign w:val="superscript"/>
          <w:lang w:val="lv-LV"/>
        </w:rPr>
        <w:t>2</w:t>
      </w:r>
      <w:r w:rsidRPr="007C35D6">
        <w:rPr>
          <w:rFonts w:ascii="Times New Roman" w:hAnsi="Times New Roman" w:cs="Times New Roman"/>
          <w:sz w:val="24"/>
          <w:szCs w:val="24"/>
          <w:lang w:val="lv-LV"/>
        </w:rPr>
        <w:t xml:space="preserve"> pantā, savukārt dalībvalstī reģistrētu ieguldījumu fondu ieguldījumu apliecību izplatīšanas kārtība Latvijā ir noteik</w:t>
      </w:r>
      <w:r w:rsidRPr="00250D07">
        <w:rPr>
          <w:rFonts w:ascii="Times New Roman" w:hAnsi="Times New Roman" w:cs="Times New Roman"/>
          <w:sz w:val="24"/>
          <w:szCs w:val="24"/>
          <w:lang w:val="lv-LV"/>
        </w:rPr>
        <w:t>ta Ieguldījumu pārvaldes sabiedrību likuma 77.</w:t>
      </w:r>
      <w:r w:rsidRPr="00250D07">
        <w:rPr>
          <w:rFonts w:ascii="Times New Roman" w:hAnsi="Times New Roman" w:cs="Times New Roman"/>
          <w:sz w:val="24"/>
          <w:szCs w:val="24"/>
          <w:vertAlign w:val="superscript"/>
          <w:lang w:val="lv-LV"/>
        </w:rPr>
        <w:t>3</w:t>
      </w:r>
      <w:r w:rsidRPr="00250D07">
        <w:rPr>
          <w:rFonts w:ascii="Times New Roman" w:hAnsi="Times New Roman" w:cs="Times New Roman"/>
          <w:sz w:val="24"/>
          <w:szCs w:val="24"/>
          <w:lang w:val="lv-LV"/>
        </w:rPr>
        <w:t xml:space="preserve"> pantā. </w:t>
      </w:r>
      <w:r w:rsidR="00250D07" w:rsidRPr="00250D07">
        <w:rPr>
          <w:rFonts w:ascii="Times New Roman" w:hAnsi="Times New Roman" w:cs="Times New Roman"/>
          <w:sz w:val="24"/>
          <w:szCs w:val="24"/>
          <w:lang w:val="lv-LV"/>
        </w:rPr>
        <w:t xml:space="preserve">Līdzīga pieeja ir </w:t>
      </w:r>
      <w:r w:rsidR="00C96F19">
        <w:rPr>
          <w:rFonts w:ascii="Times New Roman" w:hAnsi="Times New Roman" w:cs="Times New Roman"/>
          <w:sz w:val="24"/>
          <w:szCs w:val="24"/>
          <w:lang w:val="lv-LV"/>
        </w:rPr>
        <w:t xml:space="preserve">piemērojama </w:t>
      </w:r>
      <w:r w:rsidR="00250D07" w:rsidRPr="00250D07">
        <w:rPr>
          <w:rFonts w:ascii="Times New Roman" w:hAnsi="Times New Roman" w:cs="Times New Roman"/>
          <w:sz w:val="24"/>
          <w:szCs w:val="24"/>
          <w:lang w:val="lv-LV"/>
        </w:rPr>
        <w:t>arī pēc Alternatīvo ieguldījumu fondu un to pārvaldnieku likum</w:t>
      </w:r>
      <w:r w:rsidR="00250D07">
        <w:rPr>
          <w:rFonts w:ascii="Times New Roman" w:hAnsi="Times New Roman" w:cs="Times New Roman"/>
          <w:sz w:val="24"/>
          <w:szCs w:val="24"/>
          <w:lang w:val="lv-LV"/>
        </w:rPr>
        <w:t>a</w:t>
      </w:r>
      <w:r w:rsidR="00250D07" w:rsidRPr="00250D07">
        <w:rPr>
          <w:rFonts w:ascii="Times New Roman" w:hAnsi="Times New Roman" w:cs="Times New Roman"/>
          <w:sz w:val="24"/>
          <w:szCs w:val="24"/>
          <w:lang w:val="lv-LV"/>
        </w:rPr>
        <w:t xml:space="preserve"> regulējuma.</w:t>
      </w:r>
    </w:p>
    <w:p w:rsidR="00635CD1" w:rsidRPr="007C35D6" w:rsidRDefault="00635CD1" w:rsidP="00635CD1">
      <w:pPr>
        <w:spacing w:after="0" w:line="240" w:lineRule="auto"/>
        <w:jc w:val="both"/>
        <w:rPr>
          <w:rFonts w:ascii="Times New Roman" w:hAnsi="Times New Roman" w:cs="Times New Roman"/>
          <w:sz w:val="24"/>
          <w:szCs w:val="24"/>
          <w:lang w:val="lv-LV"/>
        </w:rPr>
      </w:pPr>
    </w:p>
    <w:p w:rsidR="00635CD1" w:rsidRPr="00632BF2" w:rsidRDefault="00635CD1" w:rsidP="00635CD1">
      <w:pPr>
        <w:spacing w:after="0" w:line="240" w:lineRule="auto"/>
        <w:jc w:val="both"/>
        <w:rPr>
          <w:rFonts w:ascii="Times New Roman" w:hAnsi="Times New Roman" w:cs="Times New Roman"/>
          <w:sz w:val="24"/>
          <w:szCs w:val="24"/>
          <w:lang w:val="lv-LV"/>
        </w:rPr>
      </w:pPr>
      <w:r w:rsidRPr="007C35D6">
        <w:rPr>
          <w:rFonts w:ascii="Times New Roman" w:hAnsi="Times New Roman" w:cs="Times New Roman"/>
          <w:sz w:val="24"/>
          <w:szCs w:val="24"/>
          <w:lang w:val="lv-LV"/>
        </w:rPr>
        <w:t xml:space="preserve">Praksē UCITS </w:t>
      </w:r>
      <w:r w:rsidRPr="00E23AA9">
        <w:rPr>
          <w:rFonts w:ascii="Times New Roman" w:hAnsi="Times New Roman" w:cs="Times New Roman"/>
          <w:sz w:val="24"/>
          <w:szCs w:val="24"/>
          <w:lang w:val="lv-LV"/>
        </w:rPr>
        <w:t>fondu da</w:t>
      </w:r>
      <w:r w:rsidR="00AE3C51" w:rsidRPr="00632BF2">
        <w:rPr>
          <w:rFonts w:ascii="Times New Roman" w:hAnsi="Times New Roman" w:cs="Times New Roman"/>
          <w:sz w:val="24"/>
          <w:szCs w:val="24"/>
          <w:lang w:val="lv-LV"/>
        </w:rPr>
        <w:t>ļ</w:t>
      </w:r>
      <w:r w:rsidR="00AE3C51">
        <w:rPr>
          <w:rFonts w:ascii="Times New Roman" w:hAnsi="Times New Roman" w:cs="Times New Roman"/>
          <w:sz w:val="24"/>
          <w:szCs w:val="24"/>
          <w:lang w:val="lv-LV"/>
        </w:rPr>
        <w:t>u</w:t>
      </w:r>
      <w:r w:rsidRPr="00E23AA9">
        <w:rPr>
          <w:rFonts w:ascii="Times New Roman" w:hAnsi="Times New Roman" w:cs="Times New Roman"/>
          <w:sz w:val="24"/>
          <w:szCs w:val="24"/>
          <w:lang w:val="lv-LV"/>
        </w:rPr>
        <w:t xml:space="preserve"> izplatīšana</w:t>
      </w:r>
      <w:r w:rsidRPr="007C35D6">
        <w:rPr>
          <w:rFonts w:ascii="Times New Roman" w:hAnsi="Times New Roman" w:cs="Times New Roman"/>
          <w:sz w:val="24"/>
          <w:szCs w:val="24"/>
          <w:lang w:val="lv-LV"/>
        </w:rPr>
        <w:t xml:space="preserve"> parasti notiek, slēdzot līgumu par izplatīšanu, proti, iestādes rīcība atbilst Noteikumu </w:t>
      </w:r>
      <w:r w:rsidR="00B673EF">
        <w:rPr>
          <w:rFonts w:ascii="Times New Roman" w:hAnsi="Times New Roman" w:cs="Times New Roman"/>
          <w:sz w:val="24"/>
          <w:szCs w:val="24"/>
          <w:lang w:val="lv-LV"/>
        </w:rPr>
        <w:t>Nr. </w:t>
      </w:r>
      <w:r w:rsidRPr="007C35D6">
        <w:rPr>
          <w:rFonts w:ascii="Times New Roman" w:hAnsi="Times New Roman" w:cs="Times New Roman"/>
          <w:sz w:val="24"/>
          <w:szCs w:val="24"/>
          <w:lang w:val="lv-LV"/>
        </w:rPr>
        <w:t>139 3.3.2. punkt</w:t>
      </w:r>
      <w:r w:rsidR="00AE3C51">
        <w:rPr>
          <w:rFonts w:ascii="Times New Roman" w:hAnsi="Times New Roman" w:cs="Times New Roman"/>
          <w:sz w:val="24"/>
          <w:szCs w:val="24"/>
          <w:lang w:val="lv-LV"/>
        </w:rPr>
        <w:t>ā minētajām</w:t>
      </w:r>
      <w:r w:rsidRPr="007C35D6">
        <w:rPr>
          <w:rFonts w:ascii="Times New Roman" w:hAnsi="Times New Roman" w:cs="Times New Roman"/>
          <w:sz w:val="24"/>
          <w:szCs w:val="24"/>
          <w:lang w:val="lv-LV"/>
        </w:rPr>
        <w:t xml:space="preserve"> pazīmēm. Š</w:t>
      </w:r>
      <w:r w:rsidR="00AE3C51">
        <w:rPr>
          <w:rFonts w:ascii="Times New Roman" w:hAnsi="Times New Roman" w:cs="Times New Roman"/>
          <w:sz w:val="24"/>
          <w:szCs w:val="24"/>
          <w:lang w:val="lv-LV"/>
        </w:rPr>
        <w:t>ajā</w:t>
      </w:r>
      <w:r w:rsidRPr="007C35D6">
        <w:rPr>
          <w:rFonts w:ascii="Times New Roman" w:hAnsi="Times New Roman" w:cs="Times New Roman"/>
          <w:sz w:val="24"/>
          <w:szCs w:val="24"/>
          <w:lang w:val="lv-LV"/>
        </w:rPr>
        <w:t xml:space="preserve"> gadījumā iestāde rīkojas aktīvi un produktu mērķtirgus definēšanai vajadzētu būt detalizētākai. Attiecībā uz izplatāmo UCITS fondu daļu mērķtirgu definēšanu FITL </w:t>
      </w:r>
      <w:r w:rsidR="00AE3C51">
        <w:rPr>
          <w:rFonts w:ascii="Times New Roman" w:hAnsi="Times New Roman" w:cs="Times New Roman"/>
          <w:sz w:val="24"/>
          <w:szCs w:val="24"/>
          <w:lang w:val="lv-LV"/>
        </w:rPr>
        <w:t xml:space="preserve">noteiktās </w:t>
      </w:r>
      <w:r w:rsidRPr="007C35D6">
        <w:rPr>
          <w:rFonts w:ascii="Times New Roman" w:hAnsi="Times New Roman" w:cs="Times New Roman"/>
          <w:sz w:val="24"/>
          <w:szCs w:val="24"/>
          <w:lang w:val="lv-LV"/>
        </w:rPr>
        <w:t>produktu pārvaldības prasības ir jāievēro tiktāl, ciktāl t</w:t>
      </w:r>
      <w:r w:rsidR="006A3833">
        <w:rPr>
          <w:rFonts w:ascii="Times New Roman" w:hAnsi="Times New Roman" w:cs="Times New Roman"/>
          <w:sz w:val="24"/>
          <w:szCs w:val="24"/>
          <w:lang w:val="lv-LV"/>
        </w:rPr>
        <w:t>ās</w:t>
      </w:r>
      <w:r w:rsidRPr="007C35D6">
        <w:rPr>
          <w:rFonts w:ascii="Times New Roman" w:hAnsi="Times New Roman" w:cs="Times New Roman"/>
          <w:sz w:val="24"/>
          <w:szCs w:val="24"/>
          <w:lang w:val="lv-LV"/>
        </w:rPr>
        <w:t xml:space="preserve"> nepārklāj</w:t>
      </w:r>
      <w:r w:rsidR="006A3833">
        <w:rPr>
          <w:rFonts w:ascii="Times New Roman" w:hAnsi="Times New Roman" w:cs="Times New Roman"/>
          <w:sz w:val="24"/>
          <w:szCs w:val="24"/>
          <w:lang w:val="lv-LV"/>
        </w:rPr>
        <w:t>a</w:t>
      </w:r>
      <w:r w:rsidRPr="007C35D6">
        <w:rPr>
          <w:rFonts w:ascii="Times New Roman" w:hAnsi="Times New Roman" w:cs="Times New Roman"/>
          <w:sz w:val="24"/>
          <w:szCs w:val="24"/>
          <w:lang w:val="lv-LV"/>
        </w:rPr>
        <w:t>s ar Ieguldījumu pārvaldes sabiedrību likum</w:t>
      </w:r>
      <w:r w:rsidR="00AE3C51">
        <w:rPr>
          <w:rFonts w:ascii="Times New Roman" w:hAnsi="Times New Roman" w:cs="Times New Roman"/>
          <w:sz w:val="24"/>
          <w:szCs w:val="24"/>
          <w:lang w:val="lv-LV"/>
        </w:rPr>
        <w:t>ā noteiktajām</w:t>
      </w:r>
      <w:r w:rsidRPr="007C35D6">
        <w:rPr>
          <w:rFonts w:ascii="Times New Roman" w:hAnsi="Times New Roman" w:cs="Times New Roman"/>
          <w:sz w:val="24"/>
          <w:szCs w:val="24"/>
          <w:lang w:val="lv-LV"/>
        </w:rPr>
        <w:t xml:space="preserve"> prasībām par fondu daļu izplatīšanu.    </w:t>
      </w:r>
    </w:p>
    <w:p w:rsidR="00635CD1" w:rsidRDefault="00635CD1" w:rsidP="00635CD1">
      <w:pPr>
        <w:spacing w:after="0" w:line="240" w:lineRule="auto"/>
        <w:jc w:val="both"/>
        <w:rPr>
          <w:rFonts w:ascii="Times New Roman" w:hAnsi="Times New Roman" w:cs="Times New Roman"/>
          <w:sz w:val="24"/>
          <w:szCs w:val="24"/>
          <w:lang w:val="lv-LV"/>
        </w:rPr>
      </w:pPr>
    </w:p>
    <w:p w:rsidR="002678FD" w:rsidRPr="00767FED" w:rsidRDefault="00977966" w:rsidP="007C62A5">
      <w:pPr>
        <w:spacing w:after="0" w:line="240" w:lineRule="auto"/>
        <w:jc w:val="both"/>
        <w:rPr>
          <w:rFonts w:ascii="Times New Roman" w:hAnsi="Times New Roman" w:cs="Times New Roman"/>
          <w:b/>
          <w:sz w:val="24"/>
          <w:szCs w:val="24"/>
          <w:lang w:val="lv-LV"/>
        </w:rPr>
      </w:pPr>
      <w:r>
        <w:rPr>
          <w:rFonts w:ascii="Times New Roman" w:eastAsia="Times New Roman" w:hAnsi="Times New Roman" w:cs="Times New Roman"/>
          <w:b/>
          <w:sz w:val="24"/>
          <w:szCs w:val="20"/>
          <w:u w:val="single"/>
          <w:lang w:val="lv-LV"/>
        </w:rPr>
        <w:t>4</w:t>
      </w:r>
      <w:r w:rsidR="007C62A5" w:rsidRPr="00D36450">
        <w:rPr>
          <w:rFonts w:ascii="Times New Roman" w:eastAsia="Times New Roman" w:hAnsi="Times New Roman" w:cs="Times New Roman"/>
          <w:b/>
          <w:sz w:val="24"/>
          <w:szCs w:val="20"/>
          <w:u w:val="single"/>
          <w:lang w:val="lv-LV"/>
        </w:rPr>
        <w:t>. jautājums:</w:t>
      </w:r>
      <w:r w:rsidR="007C62A5" w:rsidRPr="00D36450">
        <w:rPr>
          <w:b/>
          <w:lang w:val="lv-LV"/>
        </w:rPr>
        <w:t xml:space="preserve"> </w:t>
      </w:r>
      <w:r w:rsidR="002678FD" w:rsidRPr="00D36450">
        <w:rPr>
          <w:rFonts w:ascii="Times New Roman" w:hAnsi="Times New Roman" w:cs="Times New Roman"/>
          <w:b/>
          <w:sz w:val="24"/>
          <w:szCs w:val="24"/>
          <w:lang w:val="lv-LV"/>
        </w:rPr>
        <w:t xml:space="preserve">Kā praksē veikt regulāru produkta atbilstības mērķtirgum pārskatīšanu atbilstoši </w:t>
      </w:r>
      <w:r w:rsidR="007C62A5" w:rsidRPr="00D36450">
        <w:rPr>
          <w:rFonts w:ascii="Times New Roman" w:hAnsi="Times New Roman" w:cs="Times New Roman"/>
          <w:b/>
          <w:sz w:val="24"/>
          <w:szCs w:val="24"/>
          <w:lang w:val="lv-LV"/>
        </w:rPr>
        <w:t>Noteikum</w:t>
      </w:r>
      <w:r w:rsidR="00306887">
        <w:rPr>
          <w:rFonts w:ascii="Times New Roman" w:hAnsi="Times New Roman" w:cs="Times New Roman"/>
          <w:b/>
          <w:sz w:val="24"/>
          <w:szCs w:val="24"/>
          <w:lang w:val="lv-LV"/>
        </w:rPr>
        <w:t>u</w:t>
      </w:r>
      <w:r w:rsidR="007C62A5" w:rsidRPr="00D36450">
        <w:rPr>
          <w:rFonts w:ascii="Times New Roman" w:hAnsi="Times New Roman" w:cs="Times New Roman"/>
          <w:b/>
          <w:sz w:val="24"/>
          <w:szCs w:val="24"/>
          <w:lang w:val="lv-LV"/>
        </w:rPr>
        <w:t xml:space="preserve"> Nr. 139</w:t>
      </w:r>
      <w:r w:rsidR="002678FD" w:rsidRPr="00D36450">
        <w:rPr>
          <w:rFonts w:ascii="Times New Roman" w:hAnsi="Times New Roman" w:cs="Times New Roman"/>
          <w:b/>
          <w:sz w:val="24"/>
          <w:szCs w:val="24"/>
          <w:lang w:val="lv-LV"/>
        </w:rPr>
        <w:t xml:space="preserve"> 45</w:t>
      </w:r>
      <w:r w:rsidR="00D36450" w:rsidRPr="00D36450">
        <w:rPr>
          <w:rFonts w:ascii="Times New Roman" w:hAnsi="Times New Roman" w:cs="Times New Roman"/>
          <w:b/>
          <w:sz w:val="24"/>
          <w:szCs w:val="24"/>
          <w:lang w:val="lv-LV"/>
        </w:rPr>
        <w:t>.</w:t>
      </w:r>
      <w:r w:rsidR="00005356">
        <w:rPr>
          <w:rFonts w:ascii="Times New Roman" w:hAnsi="Times New Roman" w:cs="Times New Roman"/>
          <w:b/>
          <w:sz w:val="24"/>
          <w:szCs w:val="24"/>
          <w:lang w:val="lv-LV"/>
        </w:rPr>
        <w:t>–</w:t>
      </w:r>
      <w:r w:rsidR="002678FD" w:rsidRPr="00D36450">
        <w:rPr>
          <w:rFonts w:ascii="Times New Roman" w:hAnsi="Times New Roman" w:cs="Times New Roman"/>
          <w:b/>
          <w:sz w:val="24"/>
          <w:szCs w:val="24"/>
          <w:lang w:val="lv-LV"/>
        </w:rPr>
        <w:t>47</w:t>
      </w:r>
      <w:r w:rsidR="00D36450" w:rsidRPr="00D36450">
        <w:rPr>
          <w:rFonts w:ascii="Times New Roman" w:hAnsi="Times New Roman" w:cs="Times New Roman"/>
          <w:b/>
          <w:sz w:val="24"/>
          <w:szCs w:val="24"/>
          <w:lang w:val="lv-LV"/>
        </w:rPr>
        <w:t>.</w:t>
      </w:r>
      <w:r w:rsidR="002678FD" w:rsidRPr="00D36450">
        <w:rPr>
          <w:rFonts w:ascii="Times New Roman" w:hAnsi="Times New Roman" w:cs="Times New Roman"/>
          <w:b/>
          <w:sz w:val="24"/>
          <w:szCs w:val="24"/>
          <w:lang w:val="lv-LV"/>
        </w:rPr>
        <w:t xml:space="preserve"> punkt</w:t>
      </w:r>
      <w:r w:rsidR="00005356">
        <w:rPr>
          <w:rFonts w:ascii="Times New Roman" w:hAnsi="Times New Roman" w:cs="Times New Roman"/>
          <w:b/>
          <w:sz w:val="24"/>
          <w:szCs w:val="24"/>
          <w:lang w:val="lv-LV"/>
        </w:rPr>
        <w:t>ā noteiktajām</w:t>
      </w:r>
      <w:r w:rsidR="002678FD" w:rsidRPr="00D36450">
        <w:rPr>
          <w:rFonts w:ascii="Times New Roman" w:hAnsi="Times New Roman" w:cs="Times New Roman"/>
          <w:b/>
          <w:sz w:val="24"/>
          <w:szCs w:val="24"/>
          <w:lang w:val="lv-LV"/>
        </w:rPr>
        <w:t xml:space="preserve"> prasībām attiecībā uz </w:t>
      </w:r>
      <w:r w:rsidR="00D36450" w:rsidRPr="00D36450">
        <w:rPr>
          <w:rFonts w:ascii="Times New Roman" w:hAnsi="Times New Roman" w:cs="Times New Roman"/>
          <w:b/>
          <w:sz w:val="24"/>
          <w:szCs w:val="24"/>
          <w:lang w:val="lv-LV"/>
        </w:rPr>
        <w:t xml:space="preserve">maržinālā </w:t>
      </w:r>
      <w:r w:rsidR="002678FD" w:rsidRPr="00D36450">
        <w:rPr>
          <w:rFonts w:ascii="Times New Roman" w:hAnsi="Times New Roman" w:cs="Times New Roman"/>
          <w:b/>
          <w:i/>
          <w:sz w:val="24"/>
          <w:szCs w:val="24"/>
          <w:lang w:val="lv-LV"/>
        </w:rPr>
        <w:t>Forex</w:t>
      </w:r>
      <w:r w:rsidR="002678FD" w:rsidRPr="00D36450">
        <w:rPr>
          <w:rFonts w:ascii="Times New Roman" w:hAnsi="Times New Roman" w:cs="Times New Roman"/>
          <w:b/>
          <w:sz w:val="24"/>
          <w:szCs w:val="24"/>
          <w:lang w:val="lv-LV"/>
        </w:rPr>
        <w:t xml:space="preserve"> </w:t>
      </w:r>
      <w:r w:rsidR="00D36450" w:rsidRPr="00D36450">
        <w:rPr>
          <w:rFonts w:ascii="Times New Roman" w:hAnsi="Times New Roman" w:cs="Times New Roman"/>
          <w:b/>
          <w:sz w:val="24"/>
          <w:szCs w:val="24"/>
          <w:lang w:val="lv-LV"/>
        </w:rPr>
        <w:t xml:space="preserve">finanšu līgumu par starpību </w:t>
      </w:r>
      <w:r w:rsidR="002678FD" w:rsidRPr="00D36450">
        <w:rPr>
          <w:rFonts w:ascii="Times New Roman" w:hAnsi="Times New Roman" w:cs="Times New Roman"/>
          <w:b/>
          <w:sz w:val="24"/>
          <w:szCs w:val="24"/>
          <w:lang w:val="lv-LV"/>
        </w:rPr>
        <w:t>darījumiem, kad ieg</w:t>
      </w:r>
      <w:r w:rsidR="007C62A5" w:rsidRPr="00D36450">
        <w:rPr>
          <w:rFonts w:ascii="Times New Roman" w:hAnsi="Times New Roman" w:cs="Times New Roman"/>
          <w:b/>
          <w:sz w:val="24"/>
          <w:szCs w:val="24"/>
          <w:lang w:val="lv-LV"/>
        </w:rPr>
        <w:t xml:space="preserve">uldījumu pakalpojumu sniedzējs </w:t>
      </w:r>
      <w:r w:rsidR="002678FD" w:rsidRPr="00D36450">
        <w:rPr>
          <w:rFonts w:ascii="Times New Roman" w:hAnsi="Times New Roman" w:cs="Times New Roman"/>
          <w:b/>
          <w:sz w:val="24"/>
          <w:szCs w:val="24"/>
          <w:lang w:val="lv-LV"/>
        </w:rPr>
        <w:t xml:space="preserve">vienlaikus </w:t>
      </w:r>
      <w:r w:rsidR="00005356" w:rsidRPr="00D36450">
        <w:rPr>
          <w:rFonts w:ascii="Times New Roman" w:hAnsi="Times New Roman" w:cs="Times New Roman"/>
          <w:b/>
          <w:sz w:val="24"/>
          <w:szCs w:val="24"/>
          <w:lang w:val="lv-LV"/>
        </w:rPr>
        <w:t xml:space="preserve">ir </w:t>
      </w:r>
      <w:r w:rsidR="002678FD" w:rsidRPr="00D36450">
        <w:rPr>
          <w:rFonts w:ascii="Times New Roman" w:hAnsi="Times New Roman" w:cs="Times New Roman"/>
          <w:b/>
          <w:sz w:val="24"/>
          <w:szCs w:val="24"/>
          <w:lang w:val="lv-LV"/>
        </w:rPr>
        <w:t xml:space="preserve">produktu </w:t>
      </w:r>
      <w:r w:rsidR="002678FD" w:rsidRPr="00767FED">
        <w:rPr>
          <w:rFonts w:ascii="Times New Roman" w:hAnsi="Times New Roman" w:cs="Times New Roman"/>
          <w:b/>
          <w:sz w:val="24"/>
          <w:szCs w:val="24"/>
          <w:lang w:val="lv-LV"/>
        </w:rPr>
        <w:t>izstrādātājs un izpl</w:t>
      </w:r>
      <w:r w:rsidR="00005356">
        <w:rPr>
          <w:rFonts w:ascii="Times New Roman" w:hAnsi="Times New Roman" w:cs="Times New Roman"/>
          <w:b/>
          <w:sz w:val="24"/>
          <w:szCs w:val="24"/>
          <w:lang w:val="lv-LV"/>
        </w:rPr>
        <w:t>a</w:t>
      </w:r>
      <w:r w:rsidR="002678FD" w:rsidRPr="00767FED">
        <w:rPr>
          <w:rFonts w:ascii="Times New Roman" w:hAnsi="Times New Roman" w:cs="Times New Roman"/>
          <w:b/>
          <w:sz w:val="24"/>
          <w:szCs w:val="24"/>
          <w:lang w:val="lv-LV"/>
        </w:rPr>
        <w:t>tītājs.</w:t>
      </w:r>
    </w:p>
    <w:p w:rsidR="007C62A5" w:rsidRPr="00767FED" w:rsidRDefault="007C62A5" w:rsidP="007C62A5">
      <w:pPr>
        <w:spacing w:after="0" w:line="240" w:lineRule="auto"/>
        <w:jc w:val="both"/>
        <w:rPr>
          <w:b/>
          <w:lang w:val="lv-LV"/>
        </w:rPr>
      </w:pPr>
    </w:p>
    <w:p w:rsidR="000221C5" w:rsidRDefault="007C62A5" w:rsidP="007C62A5">
      <w:pPr>
        <w:spacing w:after="0" w:line="240" w:lineRule="auto"/>
        <w:jc w:val="both"/>
        <w:rPr>
          <w:rFonts w:ascii="Times New Roman" w:hAnsi="Times New Roman" w:cs="Times New Roman"/>
          <w:sz w:val="24"/>
          <w:szCs w:val="24"/>
          <w:lang w:val="lv-LV"/>
        </w:rPr>
      </w:pPr>
      <w:r w:rsidRPr="00730F90">
        <w:rPr>
          <w:rFonts w:ascii="Times New Roman" w:eastAsia="Times New Roman" w:hAnsi="Times New Roman" w:cs="Times New Roman"/>
          <w:b/>
          <w:sz w:val="24"/>
          <w:szCs w:val="20"/>
          <w:u w:val="single"/>
          <w:lang w:val="lv-LV"/>
        </w:rPr>
        <w:t>Atbilde:</w:t>
      </w:r>
      <w:r w:rsidRPr="00730F90">
        <w:rPr>
          <w:b/>
          <w:lang w:val="lv-LV"/>
        </w:rPr>
        <w:t xml:space="preserve"> </w:t>
      </w:r>
      <w:r w:rsidR="002678FD" w:rsidRPr="00730F90">
        <w:rPr>
          <w:rFonts w:ascii="Times New Roman" w:hAnsi="Times New Roman" w:cs="Times New Roman"/>
          <w:sz w:val="24"/>
          <w:szCs w:val="24"/>
          <w:lang w:val="lv-LV"/>
        </w:rPr>
        <w:t xml:space="preserve">Ja </w:t>
      </w:r>
      <w:r w:rsidR="00D36450" w:rsidRPr="00730F90">
        <w:rPr>
          <w:rFonts w:ascii="Times New Roman" w:hAnsi="Times New Roman" w:cs="Times New Roman"/>
          <w:sz w:val="24"/>
          <w:szCs w:val="24"/>
          <w:lang w:val="lv-LV"/>
        </w:rPr>
        <w:t xml:space="preserve">finanšu tirgus dalībnieks </w:t>
      </w:r>
      <w:r w:rsidR="002678FD" w:rsidRPr="00730F90">
        <w:rPr>
          <w:rFonts w:ascii="Times New Roman" w:hAnsi="Times New Roman" w:cs="Times New Roman"/>
          <w:sz w:val="24"/>
          <w:szCs w:val="24"/>
          <w:lang w:val="lv-LV"/>
        </w:rPr>
        <w:t xml:space="preserve">vienlaikus </w:t>
      </w:r>
      <w:r w:rsidR="00005356" w:rsidRPr="00730F90">
        <w:rPr>
          <w:rFonts w:ascii="Times New Roman" w:hAnsi="Times New Roman" w:cs="Times New Roman"/>
          <w:sz w:val="24"/>
          <w:szCs w:val="24"/>
          <w:lang w:val="lv-LV"/>
        </w:rPr>
        <w:t xml:space="preserve">ir </w:t>
      </w:r>
      <w:r w:rsidR="002678FD" w:rsidRPr="00730F90">
        <w:rPr>
          <w:rFonts w:ascii="Times New Roman" w:hAnsi="Times New Roman" w:cs="Times New Roman"/>
          <w:sz w:val="24"/>
          <w:szCs w:val="24"/>
          <w:lang w:val="lv-LV"/>
        </w:rPr>
        <w:t>izstrādātājs un izpl</w:t>
      </w:r>
      <w:r w:rsidR="00005356">
        <w:rPr>
          <w:rFonts w:ascii="Times New Roman" w:hAnsi="Times New Roman" w:cs="Times New Roman"/>
          <w:sz w:val="24"/>
          <w:szCs w:val="24"/>
          <w:lang w:val="lv-LV"/>
        </w:rPr>
        <w:t>a</w:t>
      </w:r>
      <w:r w:rsidR="002678FD" w:rsidRPr="00730F90">
        <w:rPr>
          <w:rFonts w:ascii="Times New Roman" w:hAnsi="Times New Roman" w:cs="Times New Roman"/>
          <w:sz w:val="24"/>
          <w:szCs w:val="24"/>
          <w:lang w:val="lv-LV"/>
        </w:rPr>
        <w:t>tītājs</w:t>
      </w:r>
      <w:r w:rsidR="00C24776" w:rsidRPr="00730F90">
        <w:rPr>
          <w:rFonts w:ascii="Times New Roman" w:hAnsi="Times New Roman" w:cs="Times New Roman"/>
          <w:sz w:val="24"/>
          <w:szCs w:val="24"/>
          <w:lang w:val="lv-LV"/>
        </w:rPr>
        <w:t>, tad</w:t>
      </w:r>
      <w:r w:rsidR="002678FD" w:rsidRPr="00730F90">
        <w:rPr>
          <w:rFonts w:ascii="Times New Roman" w:hAnsi="Times New Roman" w:cs="Times New Roman"/>
          <w:sz w:val="24"/>
          <w:szCs w:val="24"/>
          <w:lang w:val="lv-LV"/>
        </w:rPr>
        <w:t xml:space="preserve"> saskaņā ar Noteikumu </w:t>
      </w:r>
      <w:r w:rsidR="00767FED" w:rsidRPr="00730F90">
        <w:rPr>
          <w:rFonts w:ascii="Times New Roman" w:hAnsi="Times New Roman" w:cs="Times New Roman"/>
          <w:sz w:val="24"/>
          <w:szCs w:val="24"/>
          <w:lang w:val="lv-LV"/>
        </w:rPr>
        <w:t xml:space="preserve">Nr. 139 </w:t>
      </w:r>
      <w:r w:rsidR="002678FD" w:rsidRPr="00730F90">
        <w:rPr>
          <w:rFonts w:ascii="Times New Roman" w:hAnsi="Times New Roman" w:cs="Times New Roman"/>
          <w:sz w:val="24"/>
          <w:szCs w:val="24"/>
          <w:lang w:val="lv-LV"/>
        </w:rPr>
        <w:t xml:space="preserve">6. punktu </w:t>
      </w:r>
      <w:r w:rsidR="00C24776" w:rsidRPr="00730F90">
        <w:rPr>
          <w:rFonts w:ascii="Times New Roman" w:hAnsi="Times New Roman" w:cs="Times New Roman"/>
          <w:sz w:val="24"/>
          <w:szCs w:val="24"/>
          <w:lang w:val="lv-LV"/>
        </w:rPr>
        <w:t xml:space="preserve">šie </w:t>
      </w:r>
      <w:r w:rsidR="002678FD" w:rsidRPr="00730F90">
        <w:rPr>
          <w:rFonts w:ascii="Times New Roman" w:hAnsi="Times New Roman" w:cs="Times New Roman"/>
          <w:sz w:val="24"/>
          <w:szCs w:val="24"/>
          <w:lang w:val="lv-LV"/>
        </w:rPr>
        <w:t>noteikumi ir piemērojami</w:t>
      </w:r>
      <w:r w:rsidR="00005356">
        <w:rPr>
          <w:rFonts w:ascii="Times New Roman" w:hAnsi="Times New Roman" w:cs="Times New Roman"/>
          <w:sz w:val="24"/>
          <w:szCs w:val="24"/>
          <w:lang w:val="lv-LV"/>
        </w:rPr>
        <w:t xml:space="preserve"> tiktāl,</w:t>
      </w:r>
      <w:r w:rsidR="002678FD" w:rsidRPr="00730F90">
        <w:rPr>
          <w:rFonts w:ascii="Times New Roman" w:hAnsi="Times New Roman" w:cs="Times New Roman"/>
          <w:sz w:val="24"/>
          <w:szCs w:val="24"/>
          <w:lang w:val="lv-LV"/>
        </w:rPr>
        <w:t xml:space="preserve"> </w:t>
      </w:r>
      <w:r w:rsidR="000221C5" w:rsidRPr="00730F90">
        <w:rPr>
          <w:rFonts w:ascii="Times New Roman" w:hAnsi="Times New Roman" w:cs="Times New Roman"/>
          <w:sz w:val="24"/>
          <w:szCs w:val="24"/>
          <w:lang w:val="lv-LV"/>
        </w:rPr>
        <w:t>ciktāl sabiedrība pilda visus izstrādātāja un izplatītāja pienākumus, proti, nav nepieciešama</w:t>
      </w:r>
      <w:r w:rsidR="00C24776" w:rsidRPr="00730F90">
        <w:rPr>
          <w:rFonts w:ascii="Times New Roman" w:hAnsi="Times New Roman" w:cs="Times New Roman"/>
          <w:sz w:val="24"/>
          <w:szCs w:val="24"/>
          <w:lang w:val="lv-LV"/>
        </w:rPr>
        <w:t xml:space="preserve"> informācijas sniegšana </w:t>
      </w:r>
      <w:r w:rsidR="00C24776" w:rsidRPr="00730F90">
        <w:rPr>
          <w:rFonts w:ascii="Times New Roman" w:hAnsi="Times New Roman" w:cs="Times New Roman"/>
          <w:sz w:val="24"/>
          <w:szCs w:val="24"/>
          <w:lang w:val="lv-LV"/>
        </w:rPr>
        <w:lastRenderedPageBreak/>
        <w:t xml:space="preserve">izstrādātājam, bet gan ir nepieciešama informācijas apkopošana </w:t>
      </w:r>
      <w:r w:rsidR="006A3833">
        <w:rPr>
          <w:rFonts w:ascii="Times New Roman" w:hAnsi="Times New Roman" w:cs="Times New Roman"/>
          <w:sz w:val="24"/>
          <w:szCs w:val="24"/>
          <w:lang w:val="lv-LV"/>
        </w:rPr>
        <w:t>vajadzīgajā</w:t>
      </w:r>
      <w:r w:rsidR="006A3833" w:rsidRPr="00730F90">
        <w:rPr>
          <w:rFonts w:ascii="Times New Roman" w:hAnsi="Times New Roman" w:cs="Times New Roman"/>
          <w:sz w:val="24"/>
          <w:szCs w:val="24"/>
          <w:lang w:val="lv-LV"/>
        </w:rPr>
        <w:t xml:space="preserve"> </w:t>
      </w:r>
      <w:r w:rsidR="00C24776" w:rsidRPr="00730F90">
        <w:rPr>
          <w:rFonts w:ascii="Times New Roman" w:hAnsi="Times New Roman" w:cs="Times New Roman"/>
          <w:sz w:val="24"/>
          <w:szCs w:val="24"/>
          <w:lang w:val="lv-LV"/>
        </w:rPr>
        <w:t>apjomā un veidā, ievērojot samērīguma principu</w:t>
      </w:r>
      <w:r w:rsidR="000221C5" w:rsidRPr="00730F90">
        <w:rPr>
          <w:rFonts w:ascii="Times New Roman" w:hAnsi="Times New Roman" w:cs="Times New Roman"/>
          <w:sz w:val="24"/>
          <w:szCs w:val="24"/>
          <w:lang w:val="lv-LV"/>
        </w:rPr>
        <w:t>. Š</w:t>
      </w:r>
      <w:r w:rsidR="00C24776" w:rsidRPr="00730F90">
        <w:rPr>
          <w:rFonts w:ascii="Times New Roman" w:hAnsi="Times New Roman" w:cs="Times New Roman"/>
          <w:sz w:val="24"/>
          <w:szCs w:val="24"/>
          <w:lang w:val="lv-LV"/>
        </w:rPr>
        <w:t>ajā</w:t>
      </w:r>
      <w:r w:rsidR="000221C5" w:rsidRPr="00730F90">
        <w:rPr>
          <w:rFonts w:ascii="Times New Roman" w:hAnsi="Times New Roman" w:cs="Times New Roman"/>
          <w:sz w:val="24"/>
          <w:szCs w:val="24"/>
          <w:lang w:val="lv-LV"/>
        </w:rPr>
        <w:t xml:space="preserve"> gadījumā sabiedrība vairāk izvērtē produkta izplatīšanas kanālus </w:t>
      </w:r>
      <w:r w:rsidR="00730F90" w:rsidRPr="00730F90">
        <w:rPr>
          <w:rFonts w:ascii="Times New Roman" w:hAnsi="Times New Roman" w:cs="Times New Roman"/>
          <w:sz w:val="24"/>
          <w:szCs w:val="24"/>
          <w:lang w:val="lv-LV"/>
        </w:rPr>
        <w:t xml:space="preserve">– </w:t>
      </w:r>
      <w:r w:rsidR="000221C5" w:rsidRPr="00730F90">
        <w:rPr>
          <w:rFonts w:ascii="Times New Roman" w:hAnsi="Times New Roman" w:cs="Times New Roman"/>
          <w:sz w:val="24"/>
          <w:szCs w:val="24"/>
          <w:lang w:val="lv-LV"/>
        </w:rPr>
        <w:t>kā</w:t>
      </w:r>
      <w:r w:rsidR="00730F90" w:rsidRPr="00730F90">
        <w:rPr>
          <w:rFonts w:ascii="Times New Roman" w:hAnsi="Times New Roman" w:cs="Times New Roman"/>
          <w:sz w:val="24"/>
          <w:szCs w:val="24"/>
          <w:lang w:val="lv-LV"/>
        </w:rPr>
        <w:t xml:space="preserve"> sabiedrīb</w:t>
      </w:r>
      <w:r w:rsidR="006A3833">
        <w:rPr>
          <w:rFonts w:ascii="Times New Roman" w:hAnsi="Times New Roman" w:cs="Times New Roman"/>
          <w:sz w:val="24"/>
          <w:szCs w:val="24"/>
          <w:lang w:val="lv-LV"/>
        </w:rPr>
        <w:t>a</w:t>
      </w:r>
      <w:r w:rsidR="00730F90" w:rsidRPr="00730F90">
        <w:rPr>
          <w:rFonts w:ascii="Times New Roman" w:hAnsi="Times New Roman" w:cs="Times New Roman"/>
          <w:sz w:val="24"/>
          <w:szCs w:val="24"/>
          <w:lang w:val="lv-LV"/>
        </w:rPr>
        <w:t xml:space="preserve"> </w:t>
      </w:r>
      <w:r w:rsidR="006A3833">
        <w:rPr>
          <w:rFonts w:ascii="Times New Roman" w:hAnsi="Times New Roman" w:cs="Times New Roman"/>
          <w:sz w:val="24"/>
          <w:szCs w:val="24"/>
          <w:lang w:val="lv-LV"/>
        </w:rPr>
        <w:t>piesaista</w:t>
      </w:r>
      <w:r w:rsidR="006A3833" w:rsidRPr="00730F90">
        <w:rPr>
          <w:rFonts w:ascii="Times New Roman" w:hAnsi="Times New Roman" w:cs="Times New Roman"/>
          <w:sz w:val="24"/>
          <w:szCs w:val="24"/>
          <w:lang w:val="lv-LV"/>
        </w:rPr>
        <w:t xml:space="preserve"> </w:t>
      </w:r>
      <w:r w:rsidR="00730F90" w:rsidRPr="00730F90">
        <w:rPr>
          <w:rFonts w:ascii="Times New Roman" w:hAnsi="Times New Roman" w:cs="Times New Roman"/>
          <w:sz w:val="24"/>
          <w:szCs w:val="24"/>
          <w:lang w:val="lv-LV"/>
        </w:rPr>
        <w:t>klient</w:t>
      </w:r>
      <w:r w:rsidR="006A3833">
        <w:rPr>
          <w:rFonts w:ascii="Times New Roman" w:hAnsi="Times New Roman" w:cs="Times New Roman"/>
          <w:sz w:val="24"/>
          <w:szCs w:val="24"/>
          <w:lang w:val="lv-LV"/>
        </w:rPr>
        <w:t>us</w:t>
      </w:r>
      <w:r w:rsidR="00730F90" w:rsidRPr="00730F90">
        <w:rPr>
          <w:rFonts w:ascii="Times New Roman" w:hAnsi="Times New Roman" w:cs="Times New Roman"/>
          <w:sz w:val="24"/>
          <w:szCs w:val="24"/>
          <w:lang w:val="lv-LV"/>
        </w:rPr>
        <w:t xml:space="preserve">, </w:t>
      </w:r>
      <w:r w:rsidR="000221C5" w:rsidRPr="00730F90">
        <w:rPr>
          <w:rFonts w:ascii="Times New Roman" w:hAnsi="Times New Roman" w:cs="Times New Roman"/>
          <w:sz w:val="24"/>
          <w:szCs w:val="24"/>
          <w:lang w:val="lv-LV"/>
        </w:rPr>
        <w:t xml:space="preserve">piemēram, sludinājumi </w:t>
      </w:r>
      <w:r w:rsidR="00730F90" w:rsidRPr="00730F90">
        <w:rPr>
          <w:rFonts w:ascii="Times New Roman" w:hAnsi="Times New Roman" w:cs="Times New Roman"/>
          <w:sz w:val="24"/>
          <w:szCs w:val="24"/>
          <w:lang w:val="lv-LV"/>
        </w:rPr>
        <w:t>plašsaziņas</w:t>
      </w:r>
      <w:r w:rsidR="000221C5" w:rsidRPr="00730F90">
        <w:rPr>
          <w:rFonts w:ascii="Times New Roman" w:hAnsi="Times New Roman" w:cs="Times New Roman"/>
          <w:sz w:val="24"/>
          <w:szCs w:val="24"/>
          <w:lang w:val="lv-LV"/>
        </w:rPr>
        <w:t xml:space="preserve"> līdzekļos, </w:t>
      </w:r>
      <w:r w:rsidR="00C24776" w:rsidRPr="00730F90">
        <w:rPr>
          <w:rFonts w:ascii="Times New Roman" w:hAnsi="Times New Roman" w:cs="Times New Roman"/>
          <w:sz w:val="24"/>
          <w:szCs w:val="24"/>
          <w:lang w:val="lv-LV"/>
        </w:rPr>
        <w:t>tiešais mārketings</w:t>
      </w:r>
      <w:r w:rsidR="000221C5" w:rsidRPr="00730F90">
        <w:rPr>
          <w:rFonts w:ascii="Times New Roman" w:hAnsi="Times New Roman" w:cs="Times New Roman"/>
          <w:sz w:val="24"/>
          <w:szCs w:val="24"/>
          <w:lang w:val="lv-LV"/>
        </w:rPr>
        <w:t xml:space="preserve">, reklāma vai konferences un specializēti forumi </w:t>
      </w:r>
      <w:r w:rsidR="00730F90" w:rsidRPr="00730F90">
        <w:rPr>
          <w:rFonts w:ascii="Times New Roman" w:hAnsi="Times New Roman" w:cs="Times New Roman"/>
          <w:sz w:val="24"/>
          <w:szCs w:val="24"/>
          <w:lang w:val="lv-LV"/>
        </w:rPr>
        <w:t>i</w:t>
      </w:r>
      <w:r w:rsidR="000221C5" w:rsidRPr="00730F90">
        <w:rPr>
          <w:rFonts w:ascii="Times New Roman" w:hAnsi="Times New Roman" w:cs="Times New Roman"/>
          <w:sz w:val="24"/>
          <w:szCs w:val="24"/>
          <w:lang w:val="lv-LV"/>
        </w:rPr>
        <w:t>nternet</w:t>
      </w:r>
      <w:r w:rsidR="00730F90" w:rsidRPr="00730F90">
        <w:rPr>
          <w:rFonts w:ascii="Times New Roman" w:hAnsi="Times New Roman" w:cs="Times New Roman"/>
          <w:sz w:val="24"/>
          <w:szCs w:val="24"/>
          <w:lang w:val="lv-LV"/>
        </w:rPr>
        <w:t>ā</w:t>
      </w:r>
      <w:r w:rsidR="00C24776" w:rsidRPr="00730F90">
        <w:rPr>
          <w:rFonts w:ascii="Times New Roman" w:hAnsi="Times New Roman" w:cs="Times New Roman"/>
          <w:sz w:val="24"/>
          <w:szCs w:val="24"/>
          <w:lang w:val="lv-LV"/>
        </w:rPr>
        <w:t xml:space="preserve">, </w:t>
      </w:r>
      <w:r w:rsidR="000221C5" w:rsidRPr="00730F90">
        <w:rPr>
          <w:rFonts w:ascii="Times New Roman" w:hAnsi="Times New Roman" w:cs="Times New Roman"/>
          <w:sz w:val="24"/>
          <w:szCs w:val="24"/>
          <w:lang w:val="lv-LV"/>
        </w:rPr>
        <w:t xml:space="preserve">kas domāti profesionāļiem un pieredzējušiem klientiem. </w:t>
      </w:r>
      <w:r w:rsidR="000221C5" w:rsidRPr="006E14A7">
        <w:rPr>
          <w:rFonts w:ascii="Times New Roman" w:hAnsi="Times New Roman" w:cs="Times New Roman"/>
          <w:sz w:val="24"/>
          <w:szCs w:val="24"/>
          <w:lang w:val="lv-LV"/>
        </w:rPr>
        <w:t>Ja gada laikā bij</w:t>
      </w:r>
      <w:r w:rsidR="006A3833" w:rsidRPr="006E14A7">
        <w:rPr>
          <w:rFonts w:ascii="Times New Roman" w:hAnsi="Times New Roman" w:cs="Times New Roman"/>
          <w:sz w:val="24"/>
          <w:szCs w:val="24"/>
          <w:lang w:val="lv-LV"/>
        </w:rPr>
        <w:t>is</w:t>
      </w:r>
      <w:r w:rsidR="000221C5" w:rsidRPr="006E14A7">
        <w:rPr>
          <w:rFonts w:ascii="Times New Roman" w:hAnsi="Times New Roman" w:cs="Times New Roman"/>
          <w:sz w:val="24"/>
          <w:szCs w:val="24"/>
          <w:lang w:val="lv-LV"/>
        </w:rPr>
        <w:t xml:space="preserve"> daudz </w:t>
      </w:r>
      <w:r w:rsidR="00730F90" w:rsidRPr="006A3833">
        <w:rPr>
          <w:rFonts w:ascii="Times New Roman" w:hAnsi="Times New Roman" w:cs="Times New Roman"/>
          <w:sz w:val="24"/>
          <w:szCs w:val="24"/>
          <w:lang w:val="lv-LV"/>
        </w:rPr>
        <w:t xml:space="preserve">produktu </w:t>
      </w:r>
      <w:r w:rsidR="000221C5" w:rsidRPr="006A3833">
        <w:rPr>
          <w:rFonts w:ascii="Times New Roman" w:hAnsi="Times New Roman" w:cs="Times New Roman"/>
          <w:sz w:val="24"/>
          <w:szCs w:val="24"/>
          <w:lang w:val="lv-LV"/>
        </w:rPr>
        <w:t>pārdošana</w:t>
      </w:r>
      <w:r w:rsidR="00730F90" w:rsidRPr="006A3833">
        <w:rPr>
          <w:rFonts w:ascii="Times New Roman" w:hAnsi="Times New Roman" w:cs="Times New Roman"/>
          <w:sz w:val="24"/>
          <w:szCs w:val="24"/>
          <w:lang w:val="lv-LV"/>
        </w:rPr>
        <w:t>s gadījum</w:t>
      </w:r>
      <w:r w:rsidR="00F72F74" w:rsidRPr="006A3833">
        <w:rPr>
          <w:rFonts w:ascii="Times New Roman" w:hAnsi="Times New Roman" w:cs="Times New Roman"/>
          <w:sz w:val="24"/>
          <w:szCs w:val="24"/>
          <w:lang w:val="lv-LV"/>
        </w:rPr>
        <w:t>u</w:t>
      </w:r>
      <w:r w:rsidR="00730F90" w:rsidRPr="006A3833">
        <w:rPr>
          <w:rFonts w:ascii="Times New Roman" w:hAnsi="Times New Roman" w:cs="Times New Roman"/>
          <w:sz w:val="24"/>
          <w:szCs w:val="24"/>
          <w:lang w:val="lv-LV"/>
        </w:rPr>
        <w:t xml:space="preserve"> ar brīdinājumu par neatbilstošu</w:t>
      </w:r>
      <w:r w:rsidR="000221C5" w:rsidRPr="006A3833">
        <w:rPr>
          <w:rFonts w:ascii="Times New Roman" w:hAnsi="Times New Roman" w:cs="Times New Roman"/>
          <w:sz w:val="24"/>
          <w:szCs w:val="24"/>
          <w:lang w:val="lv-LV"/>
        </w:rPr>
        <w:t xml:space="preserve"> produktu </w:t>
      </w:r>
      <w:r w:rsidR="00730F90" w:rsidRPr="006A3833">
        <w:rPr>
          <w:rFonts w:ascii="Times New Roman" w:hAnsi="Times New Roman" w:cs="Times New Roman"/>
          <w:sz w:val="24"/>
          <w:szCs w:val="24"/>
          <w:lang w:val="lv-LV"/>
        </w:rPr>
        <w:t xml:space="preserve">atbilstības </w:t>
      </w:r>
      <w:r w:rsidR="000221C5" w:rsidRPr="006A3833">
        <w:rPr>
          <w:rFonts w:ascii="Times New Roman" w:hAnsi="Times New Roman" w:cs="Times New Roman"/>
          <w:sz w:val="24"/>
          <w:szCs w:val="24"/>
          <w:lang w:val="lv-LV"/>
        </w:rPr>
        <w:t xml:space="preserve">testa rezultātā – nākamgad </w:t>
      </w:r>
      <w:r w:rsidR="006A3833" w:rsidRPr="006E14A7">
        <w:rPr>
          <w:rFonts w:ascii="Times New Roman" w:hAnsi="Times New Roman" w:cs="Times New Roman"/>
          <w:sz w:val="24"/>
          <w:szCs w:val="24"/>
          <w:lang w:val="lv-LV"/>
        </w:rPr>
        <w:t>jā</w:t>
      </w:r>
      <w:r w:rsidR="000221C5" w:rsidRPr="006E14A7">
        <w:rPr>
          <w:rFonts w:ascii="Times New Roman" w:hAnsi="Times New Roman" w:cs="Times New Roman"/>
          <w:sz w:val="24"/>
          <w:szCs w:val="24"/>
          <w:lang w:val="lv-LV"/>
        </w:rPr>
        <w:t>paredz cit</w:t>
      </w:r>
      <w:r w:rsidR="006A3833" w:rsidRPr="006E14A7">
        <w:rPr>
          <w:rFonts w:ascii="Times New Roman" w:hAnsi="Times New Roman" w:cs="Times New Roman"/>
          <w:sz w:val="24"/>
          <w:szCs w:val="24"/>
          <w:lang w:val="lv-LV"/>
        </w:rPr>
        <w:t>i</w:t>
      </w:r>
      <w:r w:rsidR="000221C5" w:rsidRPr="006E14A7">
        <w:rPr>
          <w:rFonts w:ascii="Times New Roman" w:hAnsi="Times New Roman" w:cs="Times New Roman"/>
          <w:sz w:val="24"/>
          <w:szCs w:val="24"/>
          <w:lang w:val="lv-LV"/>
        </w:rPr>
        <w:t xml:space="preserve"> izplatīšanas kanāl</w:t>
      </w:r>
      <w:r w:rsidR="006A3833" w:rsidRPr="006E14A7">
        <w:rPr>
          <w:rFonts w:ascii="Times New Roman" w:hAnsi="Times New Roman" w:cs="Times New Roman"/>
          <w:sz w:val="24"/>
          <w:szCs w:val="24"/>
          <w:lang w:val="lv-LV"/>
        </w:rPr>
        <w:t>i</w:t>
      </w:r>
      <w:r w:rsidR="000221C5" w:rsidRPr="006E14A7">
        <w:rPr>
          <w:rFonts w:ascii="Times New Roman" w:hAnsi="Times New Roman" w:cs="Times New Roman"/>
          <w:sz w:val="24"/>
          <w:szCs w:val="24"/>
          <w:lang w:val="lv-LV"/>
        </w:rPr>
        <w:t>.</w:t>
      </w:r>
      <w:r w:rsidR="000221C5" w:rsidRPr="00730F90">
        <w:rPr>
          <w:rFonts w:ascii="Times New Roman" w:hAnsi="Times New Roman" w:cs="Times New Roman"/>
          <w:sz w:val="24"/>
          <w:szCs w:val="24"/>
          <w:lang w:val="lv-LV"/>
        </w:rPr>
        <w:t xml:space="preserve"> Ieteicams arī papildināt atbilstības vērtēšanas anketu ar jautājumiem par klienta finansiālo stāvokli un ieguldīšanas mērķi, lai izvērtētu klienta faktisko atbilstību definēt</w:t>
      </w:r>
      <w:r w:rsidR="00F72F74">
        <w:rPr>
          <w:rFonts w:ascii="Times New Roman" w:hAnsi="Times New Roman" w:cs="Times New Roman"/>
          <w:sz w:val="24"/>
          <w:szCs w:val="24"/>
          <w:lang w:val="lv-LV"/>
        </w:rPr>
        <w:t>aja</w:t>
      </w:r>
      <w:r w:rsidR="00730F90" w:rsidRPr="00730F90">
        <w:rPr>
          <w:rFonts w:ascii="Times New Roman" w:hAnsi="Times New Roman" w:cs="Times New Roman"/>
          <w:sz w:val="24"/>
          <w:szCs w:val="24"/>
          <w:lang w:val="lv-LV"/>
        </w:rPr>
        <w:t>m mērķtirgum, ņemot vērā visus piecus</w:t>
      </w:r>
      <w:r w:rsidR="000221C5" w:rsidRPr="00730F90">
        <w:rPr>
          <w:rFonts w:ascii="Times New Roman" w:hAnsi="Times New Roman" w:cs="Times New Roman"/>
          <w:sz w:val="24"/>
          <w:szCs w:val="24"/>
          <w:lang w:val="lv-LV"/>
        </w:rPr>
        <w:t xml:space="preserve"> </w:t>
      </w:r>
      <w:r w:rsidR="00730F90" w:rsidRPr="00730F90">
        <w:rPr>
          <w:rFonts w:ascii="Times New Roman" w:hAnsi="Times New Roman" w:cs="Times New Roman"/>
          <w:sz w:val="24"/>
          <w:szCs w:val="24"/>
          <w:lang w:val="lv-LV"/>
        </w:rPr>
        <w:t xml:space="preserve">Noteikumu Nr. 139 </w:t>
      </w:r>
      <w:r w:rsidR="00FC1600">
        <w:rPr>
          <w:rFonts w:ascii="Times New Roman" w:hAnsi="Times New Roman" w:cs="Times New Roman"/>
          <w:sz w:val="24"/>
          <w:szCs w:val="24"/>
          <w:lang w:val="lv-LV"/>
        </w:rPr>
        <w:t>11. pant</w:t>
      </w:r>
      <w:r w:rsidR="00F72F74">
        <w:rPr>
          <w:rFonts w:ascii="Times New Roman" w:hAnsi="Times New Roman" w:cs="Times New Roman"/>
          <w:sz w:val="24"/>
          <w:szCs w:val="24"/>
          <w:lang w:val="lv-LV"/>
        </w:rPr>
        <w:t>ā</w:t>
      </w:r>
      <w:r w:rsidR="00FC1600">
        <w:rPr>
          <w:rFonts w:ascii="Times New Roman" w:hAnsi="Times New Roman" w:cs="Times New Roman"/>
          <w:sz w:val="24"/>
          <w:szCs w:val="24"/>
          <w:lang w:val="lv-LV"/>
        </w:rPr>
        <w:t xml:space="preserve"> noteikt</w:t>
      </w:r>
      <w:r w:rsidR="00807F90">
        <w:rPr>
          <w:rFonts w:ascii="Times New Roman" w:hAnsi="Times New Roman" w:cs="Times New Roman"/>
          <w:sz w:val="24"/>
          <w:szCs w:val="24"/>
          <w:lang w:val="lv-LV"/>
        </w:rPr>
        <w:t>o</w:t>
      </w:r>
      <w:r w:rsidR="00FC1600">
        <w:rPr>
          <w:rFonts w:ascii="Times New Roman" w:hAnsi="Times New Roman" w:cs="Times New Roman"/>
          <w:sz w:val="24"/>
          <w:szCs w:val="24"/>
          <w:lang w:val="lv-LV"/>
        </w:rPr>
        <w:t xml:space="preserve">s </w:t>
      </w:r>
      <w:r w:rsidR="000221C5">
        <w:rPr>
          <w:rFonts w:ascii="Times New Roman" w:hAnsi="Times New Roman" w:cs="Times New Roman"/>
          <w:sz w:val="24"/>
          <w:szCs w:val="24"/>
          <w:lang w:val="lv-LV"/>
        </w:rPr>
        <w:t>kritērijus.</w:t>
      </w:r>
    </w:p>
    <w:p w:rsidR="00DA698C" w:rsidRDefault="00DA698C" w:rsidP="005D07C6">
      <w:pPr>
        <w:spacing w:after="0" w:line="240" w:lineRule="auto"/>
        <w:jc w:val="both"/>
        <w:rPr>
          <w:rFonts w:ascii="Times New Roman" w:eastAsia="Times New Roman" w:hAnsi="Times New Roman" w:cs="Times New Roman"/>
          <w:b/>
          <w:sz w:val="24"/>
          <w:szCs w:val="20"/>
          <w:u w:val="single"/>
          <w:lang w:val="lv-LV"/>
        </w:rPr>
      </w:pPr>
    </w:p>
    <w:p w:rsidR="000221C5" w:rsidRDefault="00977966" w:rsidP="005D07C6">
      <w:pPr>
        <w:spacing w:after="0" w:line="240" w:lineRule="auto"/>
        <w:jc w:val="both"/>
        <w:rPr>
          <w:rFonts w:ascii="Times New Roman" w:eastAsia="Times New Roman" w:hAnsi="Times New Roman" w:cs="Times New Roman"/>
          <w:b/>
          <w:sz w:val="24"/>
          <w:szCs w:val="20"/>
          <w:lang w:val="lv-LV"/>
        </w:rPr>
      </w:pPr>
      <w:r>
        <w:rPr>
          <w:rFonts w:ascii="Times New Roman" w:eastAsia="Times New Roman" w:hAnsi="Times New Roman" w:cs="Times New Roman"/>
          <w:b/>
          <w:sz w:val="24"/>
          <w:szCs w:val="20"/>
          <w:u w:val="single"/>
          <w:lang w:val="lv-LV"/>
        </w:rPr>
        <w:t>5</w:t>
      </w:r>
      <w:r w:rsidR="005D07C6" w:rsidRPr="005D07C6">
        <w:rPr>
          <w:rFonts w:ascii="Times New Roman" w:eastAsia="Times New Roman" w:hAnsi="Times New Roman" w:cs="Times New Roman"/>
          <w:b/>
          <w:sz w:val="24"/>
          <w:szCs w:val="20"/>
          <w:u w:val="single"/>
          <w:lang w:val="lv-LV"/>
        </w:rPr>
        <w:t>. jautājums</w:t>
      </w:r>
      <w:r w:rsidR="005D07C6" w:rsidRPr="005D07C6">
        <w:rPr>
          <w:rFonts w:ascii="Times New Roman" w:eastAsia="Times New Roman" w:hAnsi="Times New Roman" w:cs="Times New Roman"/>
          <w:b/>
          <w:sz w:val="24"/>
          <w:szCs w:val="20"/>
          <w:lang w:val="lv-LV"/>
        </w:rPr>
        <w:t>: Kā</w:t>
      </w:r>
      <w:r w:rsidR="005D07C6">
        <w:rPr>
          <w:rFonts w:ascii="Times New Roman" w:eastAsia="Times New Roman" w:hAnsi="Times New Roman" w:cs="Times New Roman"/>
          <w:b/>
          <w:sz w:val="24"/>
          <w:szCs w:val="20"/>
          <w:lang w:val="lv-LV"/>
        </w:rPr>
        <w:t>di</w:t>
      </w:r>
      <w:r w:rsidR="005D07C6" w:rsidRPr="005D07C6">
        <w:rPr>
          <w:rFonts w:ascii="Times New Roman" w:eastAsia="Times New Roman" w:hAnsi="Times New Roman" w:cs="Times New Roman"/>
          <w:b/>
          <w:sz w:val="24"/>
          <w:szCs w:val="20"/>
          <w:lang w:val="lv-LV"/>
        </w:rPr>
        <w:t xml:space="preserve"> praksē </w:t>
      </w:r>
      <w:r w:rsidR="006A3833">
        <w:rPr>
          <w:rFonts w:ascii="Times New Roman" w:eastAsia="Times New Roman" w:hAnsi="Times New Roman" w:cs="Times New Roman"/>
          <w:b/>
          <w:sz w:val="24"/>
          <w:szCs w:val="20"/>
          <w:lang w:val="lv-LV"/>
        </w:rPr>
        <w:t xml:space="preserve">ir </w:t>
      </w:r>
      <w:r w:rsidR="0069436E">
        <w:rPr>
          <w:rFonts w:ascii="Times New Roman" w:eastAsia="Times New Roman" w:hAnsi="Times New Roman" w:cs="Times New Roman"/>
          <w:b/>
          <w:sz w:val="24"/>
          <w:szCs w:val="20"/>
          <w:lang w:val="lv-LV"/>
        </w:rPr>
        <w:t>bankas</w:t>
      </w:r>
      <w:r w:rsidR="000221C5" w:rsidRPr="005D07C6">
        <w:rPr>
          <w:rFonts w:ascii="Times New Roman" w:eastAsia="Times New Roman" w:hAnsi="Times New Roman" w:cs="Times New Roman"/>
          <w:b/>
          <w:sz w:val="24"/>
          <w:szCs w:val="20"/>
          <w:lang w:val="lv-LV"/>
        </w:rPr>
        <w:t xml:space="preserve"> kā produkta izstrādātāja</w:t>
      </w:r>
      <w:r w:rsidR="00B710AC">
        <w:rPr>
          <w:rFonts w:ascii="Times New Roman" w:eastAsia="Times New Roman" w:hAnsi="Times New Roman" w:cs="Times New Roman"/>
          <w:b/>
          <w:sz w:val="24"/>
          <w:szCs w:val="20"/>
          <w:lang w:val="lv-LV"/>
        </w:rPr>
        <w:t>s</w:t>
      </w:r>
      <w:r w:rsidR="000221C5" w:rsidRPr="005D07C6">
        <w:rPr>
          <w:rFonts w:ascii="Times New Roman" w:eastAsia="Times New Roman" w:hAnsi="Times New Roman" w:cs="Times New Roman"/>
          <w:b/>
          <w:sz w:val="24"/>
          <w:szCs w:val="20"/>
          <w:lang w:val="lv-LV"/>
        </w:rPr>
        <w:t xml:space="preserve"> pie</w:t>
      </w:r>
      <w:r w:rsidR="005D07C6">
        <w:rPr>
          <w:rFonts w:ascii="Times New Roman" w:eastAsia="Times New Roman" w:hAnsi="Times New Roman" w:cs="Times New Roman"/>
          <w:b/>
          <w:sz w:val="24"/>
          <w:szCs w:val="20"/>
          <w:lang w:val="lv-LV"/>
        </w:rPr>
        <w:t>n</w:t>
      </w:r>
      <w:r w:rsidR="000221C5" w:rsidRPr="005D07C6">
        <w:rPr>
          <w:rFonts w:ascii="Times New Roman" w:eastAsia="Times New Roman" w:hAnsi="Times New Roman" w:cs="Times New Roman"/>
          <w:b/>
          <w:sz w:val="24"/>
          <w:szCs w:val="20"/>
          <w:lang w:val="lv-LV"/>
        </w:rPr>
        <w:t xml:space="preserve">ākumi attiecībā uz </w:t>
      </w:r>
      <w:r w:rsidR="005D07C6">
        <w:rPr>
          <w:rFonts w:ascii="Times New Roman" w:eastAsia="Times New Roman" w:hAnsi="Times New Roman" w:cs="Times New Roman"/>
          <w:b/>
          <w:sz w:val="24"/>
          <w:szCs w:val="20"/>
          <w:lang w:val="lv-LV"/>
        </w:rPr>
        <w:t xml:space="preserve">pašas </w:t>
      </w:r>
      <w:r w:rsidR="000221C5" w:rsidRPr="005D07C6">
        <w:rPr>
          <w:rFonts w:ascii="Times New Roman" w:eastAsia="Times New Roman" w:hAnsi="Times New Roman" w:cs="Times New Roman"/>
          <w:b/>
          <w:sz w:val="24"/>
          <w:szCs w:val="20"/>
          <w:lang w:val="lv-LV"/>
        </w:rPr>
        <w:t>emitēt</w:t>
      </w:r>
      <w:r w:rsidR="00C82BE2">
        <w:rPr>
          <w:rFonts w:ascii="Times New Roman" w:eastAsia="Times New Roman" w:hAnsi="Times New Roman" w:cs="Times New Roman"/>
          <w:b/>
          <w:sz w:val="24"/>
          <w:szCs w:val="20"/>
          <w:lang w:val="lv-LV"/>
        </w:rPr>
        <w:t>aj</w:t>
      </w:r>
      <w:r w:rsidR="000221C5" w:rsidRPr="005D07C6">
        <w:rPr>
          <w:rFonts w:ascii="Times New Roman" w:eastAsia="Times New Roman" w:hAnsi="Times New Roman" w:cs="Times New Roman"/>
          <w:b/>
          <w:sz w:val="24"/>
          <w:szCs w:val="20"/>
          <w:lang w:val="lv-LV"/>
        </w:rPr>
        <w:t>ām subordinēt</w:t>
      </w:r>
      <w:r w:rsidR="00C82BE2">
        <w:rPr>
          <w:rFonts w:ascii="Times New Roman" w:eastAsia="Times New Roman" w:hAnsi="Times New Roman" w:cs="Times New Roman"/>
          <w:b/>
          <w:sz w:val="24"/>
          <w:szCs w:val="20"/>
          <w:lang w:val="lv-LV"/>
        </w:rPr>
        <w:t>aj</w:t>
      </w:r>
      <w:r w:rsidR="000221C5" w:rsidRPr="005D07C6">
        <w:rPr>
          <w:rFonts w:ascii="Times New Roman" w:eastAsia="Times New Roman" w:hAnsi="Times New Roman" w:cs="Times New Roman"/>
          <w:b/>
          <w:sz w:val="24"/>
          <w:szCs w:val="20"/>
          <w:lang w:val="lv-LV"/>
        </w:rPr>
        <w:t>ām obligācijām, kas tika emitētas un izvietotas (sākotnēj</w:t>
      </w:r>
      <w:r w:rsidR="00C82BE2">
        <w:rPr>
          <w:rFonts w:ascii="Times New Roman" w:eastAsia="Times New Roman" w:hAnsi="Times New Roman" w:cs="Times New Roman"/>
          <w:b/>
          <w:sz w:val="24"/>
          <w:szCs w:val="20"/>
          <w:lang w:val="lv-LV"/>
        </w:rPr>
        <w:t>ā</w:t>
      </w:r>
      <w:r w:rsidR="000221C5" w:rsidRPr="005D07C6">
        <w:rPr>
          <w:rFonts w:ascii="Times New Roman" w:eastAsia="Times New Roman" w:hAnsi="Times New Roman" w:cs="Times New Roman"/>
          <w:b/>
          <w:sz w:val="24"/>
          <w:szCs w:val="20"/>
          <w:lang w:val="lv-LV"/>
        </w:rPr>
        <w:t xml:space="preserve"> izvietošana) pirms </w:t>
      </w:r>
      <w:r w:rsidR="005D07C6" w:rsidRPr="005D07C6">
        <w:rPr>
          <w:rFonts w:ascii="Times New Roman" w:eastAsia="Times New Roman" w:hAnsi="Times New Roman" w:cs="Times New Roman"/>
          <w:b/>
          <w:sz w:val="24"/>
          <w:szCs w:val="20"/>
          <w:lang w:val="lv-LV"/>
        </w:rPr>
        <w:t xml:space="preserve">produktu pārvaldības </w:t>
      </w:r>
      <w:r w:rsidR="000221C5" w:rsidRPr="005D07C6">
        <w:rPr>
          <w:rFonts w:ascii="Times New Roman" w:eastAsia="Times New Roman" w:hAnsi="Times New Roman" w:cs="Times New Roman"/>
          <w:b/>
          <w:sz w:val="24"/>
          <w:szCs w:val="20"/>
          <w:lang w:val="lv-LV"/>
        </w:rPr>
        <w:t>prasīb</w:t>
      </w:r>
      <w:r w:rsidR="00B710AC">
        <w:rPr>
          <w:rFonts w:ascii="Times New Roman" w:eastAsia="Times New Roman" w:hAnsi="Times New Roman" w:cs="Times New Roman"/>
          <w:b/>
          <w:sz w:val="24"/>
          <w:szCs w:val="20"/>
          <w:lang w:val="lv-LV"/>
        </w:rPr>
        <w:t>u stāšanās spēkā</w:t>
      </w:r>
      <w:r w:rsidR="000221C5" w:rsidRPr="005D07C6">
        <w:rPr>
          <w:rFonts w:ascii="Times New Roman" w:eastAsia="Times New Roman" w:hAnsi="Times New Roman" w:cs="Times New Roman"/>
          <w:b/>
          <w:sz w:val="24"/>
          <w:szCs w:val="20"/>
          <w:lang w:val="lv-LV"/>
        </w:rPr>
        <w:t xml:space="preserve"> </w:t>
      </w:r>
      <w:r w:rsidR="00807F90">
        <w:rPr>
          <w:rFonts w:ascii="Times New Roman" w:eastAsia="Times New Roman" w:hAnsi="Times New Roman" w:cs="Times New Roman"/>
          <w:b/>
          <w:sz w:val="24"/>
          <w:szCs w:val="20"/>
          <w:lang w:val="lv-LV"/>
        </w:rPr>
        <w:t>(pirms 18.07.2018</w:t>
      </w:r>
      <w:r w:rsidR="00C82BE2">
        <w:rPr>
          <w:rFonts w:ascii="Times New Roman" w:eastAsia="Times New Roman" w:hAnsi="Times New Roman" w:cs="Times New Roman"/>
          <w:b/>
          <w:sz w:val="24"/>
          <w:szCs w:val="20"/>
          <w:lang w:val="lv-LV"/>
        </w:rPr>
        <w:t>.</w:t>
      </w:r>
      <w:r w:rsidR="0069436E">
        <w:rPr>
          <w:rFonts w:ascii="Times New Roman" w:eastAsia="Times New Roman" w:hAnsi="Times New Roman" w:cs="Times New Roman"/>
          <w:b/>
          <w:sz w:val="24"/>
          <w:szCs w:val="20"/>
          <w:lang w:val="lv-LV"/>
        </w:rPr>
        <w:t>)</w:t>
      </w:r>
      <w:r w:rsidR="000221C5" w:rsidRPr="005D07C6">
        <w:rPr>
          <w:rFonts w:ascii="Times New Roman" w:eastAsia="Times New Roman" w:hAnsi="Times New Roman" w:cs="Times New Roman"/>
          <w:b/>
          <w:sz w:val="24"/>
          <w:szCs w:val="20"/>
          <w:lang w:val="lv-LV"/>
        </w:rPr>
        <w:t>?</w:t>
      </w:r>
    </w:p>
    <w:p w:rsidR="005D07C6" w:rsidRDefault="005D07C6" w:rsidP="005D07C6">
      <w:pPr>
        <w:spacing w:after="0" w:line="240" w:lineRule="auto"/>
        <w:jc w:val="both"/>
        <w:rPr>
          <w:rFonts w:ascii="Times New Roman" w:eastAsia="Times New Roman" w:hAnsi="Times New Roman" w:cs="Times New Roman"/>
          <w:b/>
          <w:sz w:val="24"/>
          <w:szCs w:val="20"/>
          <w:lang w:val="lv-LV"/>
        </w:rPr>
      </w:pPr>
    </w:p>
    <w:p w:rsidR="007C35D6" w:rsidRPr="007C35D6" w:rsidRDefault="005D07C6" w:rsidP="008A0B9A">
      <w:pPr>
        <w:spacing w:after="0" w:line="240" w:lineRule="auto"/>
        <w:jc w:val="both"/>
        <w:rPr>
          <w:rFonts w:ascii="Times New Roman" w:hAnsi="Times New Roman" w:cs="Times New Roman"/>
          <w:sz w:val="24"/>
          <w:szCs w:val="24"/>
          <w:lang w:val="lv-LV"/>
        </w:rPr>
      </w:pPr>
      <w:r w:rsidRPr="00730F90">
        <w:rPr>
          <w:rFonts w:ascii="Times New Roman" w:eastAsia="Times New Roman" w:hAnsi="Times New Roman" w:cs="Times New Roman"/>
          <w:b/>
          <w:sz w:val="24"/>
          <w:szCs w:val="20"/>
          <w:u w:val="single"/>
          <w:lang w:val="lv-LV"/>
        </w:rPr>
        <w:t>Atbilde:</w:t>
      </w:r>
      <w:r w:rsidRPr="00730F90">
        <w:rPr>
          <w:b/>
          <w:lang w:val="lv-LV"/>
        </w:rPr>
        <w:t xml:space="preserve"> </w:t>
      </w:r>
      <w:r>
        <w:rPr>
          <w:rFonts w:ascii="Times New Roman" w:hAnsi="Times New Roman" w:cs="Times New Roman"/>
          <w:sz w:val="24"/>
          <w:szCs w:val="24"/>
          <w:lang w:val="lv-LV"/>
        </w:rPr>
        <w:t xml:space="preserve">Saskaņā </w:t>
      </w:r>
      <w:r w:rsidR="000221C5">
        <w:rPr>
          <w:rFonts w:ascii="Times New Roman" w:hAnsi="Times New Roman" w:cs="Times New Roman"/>
          <w:sz w:val="24"/>
          <w:szCs w:val="24"/>
          <w:lang w:val="lv-LV"/>
        </w:rPr>
        <w:t>ar</w:t>
      </w:r>
      <w:r w:rsidR="0078684F">
        <w:rPr>
          <w:rFonts w:ascii="Times New Roman" w:hAnsi="Times New Roman" w:cs="Times New Roman"/>
          <w:sz w:val="24"/>
          <w:szCs w:val="24"/>
          <w:lang w:val="lv-LV"/>
        </w:rPr>
        <w:t xml:space="preserve"> </w:t>
      </w:r>
      <w:r w:rsidR="0078684F" w:rsidRPr="00730F90">
        <w:rPr>
          <w:rFonts w:ascii="Times New Roman" w:hAnsi="Times New Roman" w:cs="Times New Roman"/>
          <w:sz w:val="24"/>
          <w:szCs w:val="24"/>
          <w:lang w:val="lv-LV"/>
        </w:rPr>
        <w:t xml:space="preserve">Noteikumu Nr. 139 </w:t>
      </w:r>
      <w:r w:rsidR="005C61A7">
        <w:rPr>
          <w:rFonts w:ascii="Times New Roman" w:hAnsi="Times New Roman" w:cs="Times New Roman"/>
          <w:sz w:val="24"/>
          <w:szCs w:val="24"/>
          <w:lang w:val="lv-LV"/>
        </w:rPr>
        <w:t xml:space="preserve">50. punktu </w:t>
      </w:r>
      <w:r w:rsidR="001C0A7D">
        <w:rPr>
          <w:rFonts w:ascii="Times New Roman" w:hAnsi="Times New Roman" w:cs="Times New Roman"/>
          <w:sz w:val="24"/>
          <w:szCs w:val="24"/>
          <w:lang w:val="lv-LV"/>
        </w:rPr>
        <w:t xml:space="preserve">produktu pārvaldības prasības attiecas ne tikai uz sākotnējo izvietošanu, bet arī uz otrreizējo tirgu. Attiecībā uz </w:t>
      </w:r>
      <w:r w:rsidR="00B710AC">
        <w:rPr>
          <w:rFonts w:ascii="Times New Roman" w:hAnsi="Times New Roman" w:cs="Times New Roman"/>
          <w:sz w:val="24"/>
          <w:szCs w:val="24"/>
          <w:lang w:val="lv-LV"/>
        </w:rPr>
        <w:t xml:space="preserve">produktiem, kas izveidoti </w:t>
      </w:r>
      <w:r w:rsidR="00396B76">
        <w:rPr>
          <w:rFonts w:ascii="Times New Roman" w:hAnsi="Times New Roman" w:cs="Times New Roman"/>
          <w:sz w:val="24"/>
          <w:szCs w:val="24"/>
          <w:lang w:val="lv-LV"/>
        </w:rPr>
        <w:t xml:space="preserve">un </w:t>
      </w:r>
      <w:r w:rsidR="0013446C">
        <w:rPr>
          <w:rFonts w:ascii="Times New Roman" w:hAnsi="Times New Roman" w:cs="Times New Roman"/>
          <w:sz w:val="24"/>
          <w:szCs w:val="24"/>
          <w:lang w:val="lv-LV"/>
        </w:rPr>
        <w:t xml:space="preserve">sākotnēji </w:t>
      </w:r>
      <w:r w:rsidR="00396B76">
        <w:rPr>
          <w:rFonts w:ascii="Times New Roman" w:hAnsi="Times New Roman" w:cs="Times New Roman"/>
          <w:sz w:val="24"/>
          <w:szCs w:val="24"/>
          <w:lang w:val="lv-LV"/>
        </w:rPr>
        <w:t xml:space="preserve">izplatīti </w:t>
      </w:r>
      <w:r w:rsidR="001C0A7D">
        <w:rPr>
          <w:rFonts w:ascii="Times New Roman" w:hAnsi="Times New Roman" w:cs="Times New Roman"/>
          <w:sz w:val="24"/>
          <w:szCs w:val="24"/>
          <w:lang w:val="lv-LV"/>
        </w:rPr>
        <w:t>pirms MiFID</w:t>
      </w:r>
      <w:r>
        <w:rPr>
          <w:rFonts w:ascii="Times New Roman" w:hAnsi="Times New Roman" w:cs="Times New Roman"/>
          <w:sz w:val="24"/>
          <w:szCs w:val="24"/>
          <w:lang w:val="lv-LV"/>
        </w:rPr>
        <w:t xml:space="preserve"> </w:t>
      </w:r>
      <w:r w:rsidR="001C0A7D">
        <w:rPr>
          <w:rFonts w:ascii="Times New Roman" w:hAnsi="Times New Roman" w:cs="Times New Roman"/>
          <w:sz w:val="24"/>
          <w:szCs w:val="24"/>
          <w:lang w:val="lv-LV"/>
        </w:rPr>
        <w:t>II stāšan</w:t>
      </w:r>
      <w:r w:rsidR="00B710AC">
        <w:rPr>
          <w:rFonts w:ascii="Times New Roman" w:hAnsi="Times New Roman" w:cs="Times New Roman"/>
          <w:sz w:val="24"/>
          <w:szCs w:val="24"/>
          <w:lang w:val="lv-LV"/>
        </w:rPr>
        <w:t>ā</w:t>
      </w:r>
      <w:r w:rsidR="001C0A7D">
        <w:rPr>
          <w:rFonts w:ascii="Times New Roman" w:hAnsi="Times New Roman" w:cs="Times New Roman"/>
          <w:sz w:val="24"/>
          <w:szCs w:val="24"/>
          <w:lang w:val="lv-LV"/>
        </w:rPr>
        <w:t>s spēkā, mērķtirgu noteikšanas pienākums ir produktu izpl</w:t>
      </w:r>
      <w:r w:rsidR="00B710AC">
        <w:rPr>
          <w:rFonts w:ascii="Times New Roman" w:hAnsi="Times New Roman" w:cs="Times New Roman"/>
          <w:sz w:val="24"/>
          <w:szCs w:val="24"/>
          <w:lang w:val="lv-LV"/>
        </w:rPr>
        <w:t>a</w:t>
      </w:r>
      <w:r w:rsidR="001C0A7D">
        <w:rPr>
          <w:rFonts w:ascii="Times New Roman" w:hAnsi="Times New Roman" w:cs="Times New Roman"/>
          <w:sz w:val="24"/>
          <w:szCs w:val="24"/>
          <w:lang w:val="lv-LV"/>
        </w:rPr>
        <w:t>tītāj</w:t>
      </w:r>
      <w:r>
        <w:rPr>
          <w:rFonts w:ascii="Times New Roman" w:hAnsi="Times New Roman" w:cs="Times New Roman"/>
          <w:sz w:val="24"/>
          <w:szCs w:val="24"/>
          <w:lang w:val="lv-LV"/>
        </w:rPr>
        <w:t>a</w:t>
      </w:r>
      <w:r w:rsidR="001C0A7D">
        <w:rPr>
          <w:rFonts w:ascii="Times New Roman" w:hAnsi="Times New Roman" w:cs="Times New Roman"/>
          <w:sz w:val="24"/>
          <w:szCs w:val="24"/>
          <w:lang w:val="lv-LV"/>
        </w:rPr>
        <w:t>m</w:t>
      </w:r>
      <w:r w:rsidR="0013446C">
        <w:rPr>
          <w:rFonts w:ascii="Times New Roman" w:hAnsi="Times New Roman" w:cs="Times New Roman"/>
          <w:sz w:val="24"/>
          <w:szCs w:val="24"/>
          <w:lang w:val="lv-LV"/>
        </w:rPr>
        <w:t>, kas pārdod subordinētās obligācijas otrreizējā tirgu</w:t>
      </w:r>
      <w:r w:rsidR="001C0A7D">
        <w:rPr>
          <w:rFonts w:ascii="Times New Roman" w:hAnsi="Times New Roman" w:cs="Times New Roman"/>
          <w:sz w:val="24"/>
          <w:szCs w:val="24"/>
          <w:lang w:val="lv-LV"/>
        </w:rPr>
        <w:t>.</w:t>
      </w:r>
      <w:r w:rsidR="008A0B9A">
        <w:rPr>
          <w:rFonts w:ascii="Times New Roman" w:hAnsi="Times New Roman" w:cs="Times New Roman"/>
          <w:sz w:val="24"/>
          <w:szCs w:val="24"/>
          <w:lang w:val="lv-LV"/>
        </w:rPr>
        <w:t xml:space="preserve"> </w:t>
      </w:r>
      <w:r w:rsidR="007F0836">
        <w:rPr>
          <w:rFonts w:ascii="Times New Roman" w:hAnsi="Times New Roman" w:cs="Times New Roman"/>
          <w:sz w:val="24"/>
          <w:szCs w:val="24"/>
          <w:lang w:val="lv-LV"/>
        </w:rPr>
        <w:t>B</w:t>
      </w:r>
      <w:r w:rsidR="007F0836" w:rsidRPr="007F0836">
        <w:rPr>
          <w:rFonts w:ascii="Times New Roman" w:hAnsi="Times New Roman" w:cs="Times New Roman"/>
          <w:sz w:val="24"/>
          <w:szCs w:val="24"/>
          <w:lang w:val="lv-LV"/>
        </w:rPr>
        <w:t>ankas kā produkta izstrādātājas pienākumi attiecībā uz</w:t>
      </w:r>
      <w:r w:rsidR="007F0836">
        <w:rPr>
          <w:rFonts w:ascii="Times New Roman" w:hAnsi="Times New Roman" w:cs="Times New Roman"/>
          <w:sz w:val="24"/>
          <w:szCs w:val="24"/>
          <w:lang w:val="lv-LV"/>
        </w:rPr>
        <w:t xml:space="preserve"> mērķtirgus noteikšanu iestāsies, ja banka emitē</w:t>
      </w:r>
      <w:r w:rsidR="00AA5FD4">
        <w:rPr>
          <w:rFonts w:ascii="Times New Roman" w:hAnsi="Times New Roman" w:cs="Times New Roman"/>
          <w:sz w:val="24"/>
          <w:szCs w:val="24"/>
          <w:lang w:val="lv-LV"/>
        </w:rPr>
        <w:t>s</w:t>
      </w:r>
      <w:r w:rsidR="007F0836">
        <w:rPr>
          <w:rFonts w:ascii="Times New Roman" w:hAnsi="Times New Roman" w:cs="Times New Roman"/>
          <w:sz w:val="24"/>
          <w:szCs w:val="24"/>
          <w:lang w:val="lv-LV"/>
        </w:rPr>
        <w:t xml:space="preserve"> papildu </w:t>
      </w:r>
      <w:r w:rsidR="007F0836" w:rsidRPr="007F0836">
        <w:rPr>
          <w:rFonts w:ascii="Times New Roman" w:hAnsi="Times New Roman" w:cs="Times New Roman"/>
          <w:sz w:val="24"/>
          <w:szCs w:val="24"/>
          <w:lang w:val="lv-LV"/>
        </w:rPr>
        <w:t>subordinētā</w:t>
      </w:r>
      <w:r w:rsidR="007F0836">
        <w:rPr>
          <w:rFonts w:ascii="Times New Roman" w:hAnsi="Times New Roman" w:cs="Times New Roman"/>
          <w:sz w:val="24"/>
          <w:szCs w:val="24"/>
          <w:lang w:val="lv-LV"/>
        </w:rPr>
        <w:t>s</w:t>
      </w:r>
      <w:r w:rsidR="007F0836" w:rsidRPr="007F0836">
        <w:rPr>
          <w:rFonts w:ascii="Times New Roman" w:hAnsi="Times New Roman" w:cs="Times New Roman"/>
          <w:sz w:val="24"/>
          <w:szCs w:val="24"/>
          <w:lang w:val="lv-LV"/>
        </w:rPr>
        <w:t xml:space="preserve"> obligācij</w:t>
      </w:r>
      <w:r w:rsidR="007F0836">
        <w:rPr>
          <w:rFonts w:ascii="Times New Roman" w:hAnsi="Times New Roman" w:cs="Times New Roman"/>
          <w:sz w:val="24"/>
          <w:szCs w:val="24"/>
          <w:lang w:val="lv-LV"/>
        </w:rPr>
        <w:t>as esoš</w:t>
      </w:r>
      <w:r w:rsidR="007D7F2E">
        <w:rPr>
          <w:rFonts w:ascii="Times New Roman" w:hAnsi="Times New Roman" w:cs="Times New Roman"/>
          <w:sz w:val="24"/>
          <w:szCs w:val="24"/>
          <w:lang w:val="lv-LV"/>
        </w:rPr>
        <w:t>ās vai jaun</w:t>
      </w:r>
      <w:r w:rsidR="00AA5FD4">
        <w:rPr>
          <w:rFonts w:ascii="Times New Roman" w:hAnsi="Times New Roman" w:cs="Times New Roman"/>
          <w:sz w:val="24"/>
          <w:szCs w:val="24"/>
          <w:lang w:val="lv-LV"/>
        </w:rPr>
        <w:t>ā</w:t>
      </w:r>
      <w:r w:rsidR="007D7F2E">
        <w:rPr>
          <w:rFonts w:ascii="Times New Roman" w:hAnsi="Times New Roman" w:cs="Times New Roman"/>
          <w:sz w:val="24"/>
          <w:szCs w:val="24"/>
          <w:lang w:val="lv-LV"/>
        </w:rPr>
        <w:t xml:space="preserve">s emisijas ietvaros, </w:t>
      </w:r>
      <w:r w:rsidR="00AA5FD4">
        <w:rPr>
          <w:rFonts w:ascii="Times New Roman" w:hAnsi="Times New Roman" w:cs="Times New Roman"/>
          <w:sz w:val="24"/>
          <w:szCs w:val="24"/>
          <w:lang w:val="lv-LV"/>
        </w:rPr>
        <w:t>ie</w:t>
      </w:r>
      <w:r w:rsidR="007D7F2E" w:rsidRPr="007D7F2E">
        <w:rPr>
          <w:rFonts w:ascii="Times New Roman" w:hAnsi="Times New Roman" w:cs="Times New Roman"/>
          <w:sz w:val="24"/>
          <w:szCs w:val="24"/>
          <w:lang w:val="lv-LV"/>
        </w:rPr>
        <w:t>tverot vērtēšanā arī iepriekš izlaistās obligācijas.</w:t>
      </w:r>
    </w:p>
    <w:sectPr w:rsidR="007C35D6" w:rsidRPr="007C35D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A4" w:rsidRDefault="00B67EA4" w:rsidP="007C35D6">
      <w:pPr>
        <w:spacing w:after="0" w:line="240" w:lineRule="auto"/>
      </w:pPr>
      <w:r>
        <w:separator/>
      </w:r>
    </w:p>
  </w:endnote>
  <w:endnote w:type="continuationSeparator" w:id="0">
    <w:p w:rsidR="00B67EA4" w:rsidRDefault="00B67EA4" w:rsidP="007C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75839925"/>
      <w:docPartObj>
        <w:docPartGallery w:val="Page Numbers (Bottom of Page)"/>
        <w:docPartUnique/>
      </w:docPartObj>
    </w:sdtPr>
    <w:sdtEndPr>
      <w:rPr>
        <w:noProof/>
      </w:rPr>
    </w:sdtEndPr>
    <w:sdtContent>
      <w:p w:rsidR="003A4F7D" w:rsidRPr="003A4F7D" w:rsidRDefault="003A4F7D" w:rsidP="003A4F7D">
        <w:pPr>
          <w:pStyle w:val="Footer"/>
          <w:jc w:val="center"/>
          <w:rPr>
            <w:rFonts w:ascii="Times New Roman" w:hAnsi="Times New Roman" w:cs="Times New Roman"/>
          </w:rPr>
        </w:pPr>
        <w:r w:rsidRPr="00711B91">
          <w:rPr>
            <w:rFonts w:ascii="Times New Roman" w:hAnsi="Times New Roman" w:cs="Times New Roman"/>
          </w:rPr>
          <w:fldChar w:fldCharType="begin"/>
        </w:r>
        <w:r w:rsidRPr="00711B91">
          <w:rPr>
            <w:rFonts w:ascii="Times New Roman" w:hAnsi="Times New Roman" w:cs="Times New Roman"/>
          </w:rPr>
          <w:instrText xml:space="preserve"> PAGE   \* MERGEFORMAT </w:instrText>
        </w:r>
        <w:r w:rsidRPr="00711B91">
          <w:rPr>
            <w:rFonts w:ascii="Times New Roman" w:hAnsi="Times New Roman" w:cs="Times New Roman"/>
          </w:rPr>
          <w:fldChar w:fldCharType="separate"/>
        </w:r>
        <w:r w:rsidR="009979F7">
          <w:rPr>
            <w:rFonts w:ascii="Times New Roman" w:hAnsi="Times New Roman" w:cs="Times New Roman"/>
            <w:noProof/>
          </w:rPr>
          <w:t>1</w:t>
        </w:r>
        <w:r w:rsidRPr="00711B9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A4" w:rsidRDefault="00B67EA4" w:rsidP="007C35D6">
      <w:pPr>
        <w:spacing w:after="0" w:line="240" w:lineRule="auto"/>
      </w:pPr>
      <w:r>
        <w:separator/>
      </w:r>
    </w:p>
  </w:footnote>
  <w:footnote w:type="continuationSeparator" w:id="0">
    <w:p w:rsidR="00B67EA4" w:rsidRDefault="00B67EA4" w:rsidP="007C35D6">
      <w:pPr>
        <w:spacing w:after="0" w:line="240" w:lineRule="auto"/>
      </w:pPr>
      <w:r>
        <w:continuationSeparator/>
      </w:r>
    </w:p>
  </w:footnote>
  <w:footnote w:id="1">
    <w:p w:rsidR="00635CD1" w:rsidRDefault="00635CD1" w:rsidP="00635CD1">
      <w:pPr>
        <w:pStyle w:val="FootnoteText"/>
      </w:pPr>
      <w:r>
        <w:rPr>
          <w:rStyle w:val="FootnoteReference"/>
        </w:rPr>
        <w:footnoteRef/>
      </w:r>
      <w:r>
        <w:t xml:space="preserve"> Pamatnostādnes ir publicētas arī FKTK </w:t>
      </w:r>
      <w:r w:rsidR="00A21113">
        <w:t xml:space="preserve">tīmekļa vietnē: </w:t>
      </w:r>
      <w:hyperlink r:id="rId1" w:history="1">
        <w:r>
          <w:rPr>
            <w:rStyle w:val="Hyperlink"/>
          </w:rPr>
          <w:t>http://www.fktk.lv/lv/tiesibu-akti/vispareja/es-normativie-akti/es-regulas/6467-2017-c-218-02-komisijas-pazinojums-pamatnostadnes-attieciba-uz-eiropas-parlamenta-un-padomes-regulas-es-nr-1286-2014-par-komplektetu-privato-ieguldijumu-un-apdrosinasanas-ieguldijumu-produktu-priip-pamatinformacijas-dokumentiem-piemerosanu-1.html</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171A"/>
    <w:multiLevelType w:val="hybridMultilevel"/>
    <w:tmpl w:val="BB10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32BB7"/>
    <w:multiLevelType w:val="hybridMultilevel"/>
    <w:tmpl w:val="25E87D88"/>
    <w:lvl w:ilvl="0" w:tplc="4D345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B7745C"/>
    <w:multiLevelType w:val="hybridMultilevel"/>
    <w:tmpl w:val="12DE1598"/>
    <w:lvl w:ilvl="0" w:tplc="4D345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3377E7"/>
    <w:multiLevelType w:val="hybridMultilevel"/>
    <w:tmpl w:val="9040631C"/>
    <w:lvl w:ilvl="0" w:tplc="4D345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BF07DC"/>
    <w:multiLevelType w:val="hybridMultilevel"/>
    <w:tmpl w:val="7CE8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42"/>
    <w:rsid w:val="00005356"/>
    <w:rsid w:val="000221C5"/>
    <w:rsid w:val="00034376"/>
    <w:rsid w:val="000470E3"/>
    <w:rsid w:val="000956B9"/>
    <w:rsid w:val="000C1610"/>
    <w:rsid w:val="000D5626"/>
    <w:rsid w:val="0013446C"/>
    <w:rsid w:val="001A67A6"/>
    <w:rsid w:val="001B5B0C"/>
    <w:rsid w:val="001C0A7D"/>
    <w:rsid w:val="001D1544"/>
    <w:rsid w:val="001E576A"/>
    <w:rsid w:val="00200802"/>
    <w:rsid w:val="00203F77"/>
    <w:rsid w:val="00247EF3"/>
    <w:rsid w:val="00250D07"/>
    <w:rsid w:val="002678FD"/>
    <w:rsid w:val="002C1C55"/>
    <w:rsid w:val="002D7B74"/>
    <w:rsid w:val="00302B8D"/>
    <w:rsid w:val="00306887"/>
    <w:rsid w:val="0030777A"/>
    <w:rsid w:val="00327405"/>
    <w:rsid w:val="00332518"/>
    <w:rsid w:val="00334E0B"/>
    <w:rsid w:val="003614D3"/>
    <w:rsid w:val="00376BDF"/>
    <w:rsid w:val="00380B52"/>
    <w:rsid w:val="00394351"/>
    <w:rsid w:val="00396B76"/>
    <w:rsid w:val="003A4F7D"/>
    <w:rsid w:val="003B2645"/>
    <w:rsid w:val="003E2047"/>
    <w:rsid w:val="00405D44"/>
    <w:rsid w:val="00416943"/>
    <w:rsid w:val="00424B74"/>
    <w:rsid w:val="0044052A"/>
    <w:rsid w:val="004911C5"/>
    <w:rsid w:val="004B4DE7"/>
    <w:rsid w:val="004C5A68"/>
    <w:rsid w:val="004D5487"/>
    <w:rsid w:val="004D5E7D"/>
    <w:rsid w:val="00511BD6"/>
    <w:rsid w:val="00526EE2"/>
    <w:rsid w:val="00551E80"/>
    <w:rsid w:val="00571D38"/>
    <w:rsid w:val="0058304A"/>
    <w:rsid w:val="00596D6D"/>
    <w:rsid w:val="005A6F58"/>
    <w:rsid w:val="005C61A7"/>
    <w:rsid w:val="005D07C6"/>
    <w:rsid w:val="005E085C"/>
    <w:rsid w:val="005F7442"/>
    <w:rsid w:val="00631B37"/>
    <w:rsid w:val="00632BF2"/>
    <w:rsid w:val="00635CD1"/>
    <w:rsid w:val="006628B8"/>
    <w:rsid w:val="00671492"/>
    <w:rsid w:val="0069436E"/>
    <w:rsid w:val="006A213E"/>
    <w:rsid w:val="006A3833"/>
    <w:rsid w:val="006D1165"/>
    <w:rsid w:val="006E14A7"/>
    <w:rsid w:val="006F3B17"/>
    <w:rsid w:val="00705994"/>
    <w:rsid w:val="00730F90"/>
    <w:rsid w:val="0075078C"/>
    <w:rsid w:val="007613CD"/>
    <w:rsid w:val="00767FED"/>
    <w:rsid w:val="00777589"/>
    <w:rsid w:val="00781429"/>
    <w:rsid w:val="0078684F"/>
    <w:rsid w:val="007B4942"/>
    <w:rsid w:val="007C35D6"/>
    <w:rsid w:val="007C62A5"/>
    <w:rsid w:val="007D7F2E"/>
    <w:rsid w:val="007E41BD"/>
    <w:rsid w:val="007F0836"/>
    <w:rsid w:val="007F175F"/>
    <w:rsid w:val="00807F90"/>
    <w:rsid w:val="008501E5"/>
    <w:rsid w:val="00872F19"/>
    <w:rsid w:val="00873E9F"/>
    <w:rsid w:val="008A0B9A"/>
    <w:rsid w:val="008D649E"/>
    <w:rsid w:val="00917445"/>
    <w:rsid w:val="00925CBE"/>
    <w:rsid w:val="0094634F"/>
    <w:rsid w:val="009742A4"/>
    <w:rsid w:val="00977966"/>
    <w:rsid w:val="0098454A"/>
    <w:rsid w:val="009853E4"/>
    <w:rsid w:val="00986A23"/>
    <w:rsid w:val="0099741D"/>
    <w:rsid w:val="009979F7"/>
    <w:rsid w:val="009E631B"/>
    <w:rsid w:val="009E72EA"/>
    <w:rsid w:val="00A117C4"/>
    <w:rsid w:val="00A21113"/>
    <w:rsid w:val="00A35068"/>
    <w:rsid w:val="00A47596"/>
    <w:rsid w:val="00A504D8"/>
    <w:rsid w:val="00A943B1"/>
    <w:rsid w:val="00A97050"/>
    <w:rsid w:val="00AA5FD4"/>
    <w:rsid w:val="00AE3C51"/>
    <w:rsid w:val="00B000F4"/>
    <w:rsid w:val="00B1374A"/>
    <w:rsid w:val="00B24B60"/>
    <w:rsid w:val="00B466EF"/>
    <w:rsid w:val="00B673EF"/>
    <w:rsid w:val="00B67EA4"/>
    <w:rsid w:val="00B710AC"/>
    <w:rsid w:val="00B84C42"/>
    <w:rsid w:val="00B850B1"/>
    <w:rsid w:val="00B91724"/>
    <w:rsid w:val="00C029D5"/>
    <w:rsid w:val="00C24776"/>
    <w:rsid w:val="00C53212"/>
    <w:rsid w:val="00C65EBA"/>
    <w:rsid w:val="00C82BE2"/>
    <w:rsid w:val="00C83315"/>
    <w:rsid w:val="00C96F19"/>
    <w:rsid w:val="00D314F1"/>
    <w:rsid w:val="00D36450"/>
    <w:rsid w:val="00DA0487"/>
    <w:rsid w:val="00DA27E0"/>
    <w:rsid w:val="00DA46E1"/>
    <w:rsid w:val="00DA698C"/>
    <w:rsid w:val="00DC0702"/>
    <w:rsid w:val="00DC6BF5"/>
    <w:rsid w:val="00DD4A4A"/>
    <w:rsid w:val="00DE4872"/>
    <w:rsid w:val="00DF191E"/>
    <w:rsid w:val="00DF7BDD"/>
    <w:rsid w:val="00E23AA9"/>
    <w:rsid w:val="00EE2AD4"/>
    <w:rsid w:val="00F22D69"/>
    <w:rsid w:val="00F35414"/>
    <w:rsid w:val="00F408E2"/>
    <w:rsid w:val="00F6725A"/>
    <w:rsid w:val="00F67839"/>
    <w:rsid w:val="00F72F74"/>
    <w:rsid w:val="00F91FFE"/>
    <w:rsid w:val="00FA3239"/>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96A1A-31B6-4F93-A2AC-8908BD5E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9"/>
    <w:qFormat/>
    <w:rsid w:val="00F67839"/>
    <w:pPr>
      <w:keepNext/>
      <w:keepLines/>
      <w:spacing w:after="0" w:line="240" w:lineRule="auto"/>
      <w:jc w:val="both"/>
      <w:outlineLvl w:val="0"/>
    </w:pPr>
    <w:rPr>
      <w:rFonts w:ascii="Times New Roman" w:eastAsia="Times New Roman" w:hAnsi="Times New Roman" w:cs="Times New Roman"/>
      <w:b/>
      <w:kern w:val="28"/>
      <w:sz w:val="32"/>
      <w:szCs w:val="20"/>
      <w:lang w:val="lv-LV"/>
    </w:rPr>
  </w:style>
  <w:style w:type="paragraph" w:styleId="Heading2">
    <w:name w:val="heading 2"/>
    <w:basedOn w:val="Normal"/>
    <w:next w:val="Normal"/>
    <w:link w:val="Heading2Char"/>
    <w:uiPriority w:val="9"/>
    <w:semiHidden/>
    <w:unhideWhenUsed/>
    <w:qFormat/>
    <w:rsid w:val="004D5E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42"/>
    <w:pPr>
      <w:ind w:left="720"/>
      <w:contextualSpacing/>
    </w:pPr>
  </w:style>
  <w:style w:type="character" w:customStyle="1" w:styleId="Heading1Char">
    <w:name w:val="Heading 1 Char"/>
    <w:basedOn w:val="DefaultParagraphFont"/>
    <w:link w:val="Heading1"/>
    <w:uiPriority w:val="99"/>
    <w:rsid w:val="00F67839"/>
    <w:rPr>
      <w:rFonts w:ascii="Times New Roman" w:eastAsia="Times New Roman" w:hAnsi="Times New Roman" w:cs="Times New Roman"/>
      <w:b/>
      <w:kern w:val="28"/>
      <w:sz w:val="32"/>
      <w:szCs w:val="20"/>
      <w:lang w:val="lv-LV"/>
    </w:rPr>
  </w:style>
  <w:style w:type="paragraph" w:customStyle="1" w:styleId="Teksts1">
    <w:name w:val="Teksts1"/>
    <w:basedOn w:val="Normal"/>
    <w:link w:val="Teksts1Char"/>
    <w:rsid w:val="00F67839"/>
    <w:pPr>
      <w:spacing w:after="320" w:line="240" w:lineRule="auto"/>
      <w:jc w:val="both"/>
    </w:pPr>
    <w:rPr>
      <w:rFonts w:ascii="Times New Roman" w:eastAsia="Times New Roman" w:hAnsi="Times New Roman" w:cs="Times New Roman"/>
      <w:sz w:val="24"/>
      <w:szCs w:val="20"/>
      <w:lang w:val="lv-LV" w:eastAsia="x-none"/>
    </w:rPr>
  </w:style>
  <w:style w:type="character" w:customStyle="1" w:styleId="Teksts1Char">
    <w:name w:val="Teksts1 Char"/>
    <w:link w:val="Teksts1"/>
    <w:rsid w:val="00F67839"/>
    <w:rPr>
      <w:rFonts w:ascii="Times New Roman" w:eastAsia="Times New Roman" w:hAnsi="Times New Roman" w:cs="Times New Roman"/>
      <w:sz w:val="24"/>
      <w:szCs w:val="20"/>
      <w:lang w:val="lv-LV" w:eastAsia="x-none"/>
    </w:rPr>
  </w:style>
  <w:style w:type="character" w:customStyle="1" w:styleId="Heading2Char">
    <w:name w:val="Heading 2 Char"/>
    <w:basedOn w:val="DefaultParagraphFont"/>
    <w:link w:val="Heading2"/>
    <w:uiPriority w:val="9"/>
    <w:semiHidden/>
    <w:rsid w:val="004D5E7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3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E0B"/>
    <w:rPr>
      <w:rFonts w:ascii="Tahoma" w:hAnsi="Tahoma" w:cs="Tahoma"/>
      <w:sz w:val="16"/>
      <w:szCs w:val="16"/>
    </w:rPr>
  </w:style>
  <w:style w:type="character" w:styleId="Hyperlink">
    <w:name w:val="Hyperlink"/>
    <w:basedOn w:val="DefaultParagraphFont"/>
    <w:uiPriority w:val="99"/>
    <w:unhideWhenUsed/>
    <w:rsid w:val="007C35D6"/>
    <w:rPr>
      <w:color w:val="0000FF" w:themeColor="hyperlink"/>
      <w:u w:val="single"/>
    </w:rPr>
  </w:style>
  <w:style w:type="paragraph" w:styleId="FootnoteText">
    <w:name w:val="footnote text"/>
    <w:basedOn w:val="Normal"/>
    <w:link w:val="FootnoteTextChar"/>
    <w:uiPriority w:val="99"/>
    <w:semiHidden/>
    <w:unhideWhenUsed/>
    <w:rsid w:val="007C35D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7C35D6"/>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7C35D6"/>
    <w:rPr>
      <w:rFonts w:ascii="Times New Roman" w:hAnsi="Times New Roman" w:cs="Times New Roman" w:hint="default"/>
      <w:vertAlign w:val="superscript"/>
    </w:rPr>
  </w:style>
  <w:style w:type="character" w:styleId="FollowedHyperlink">
    <w:name w:val="FollowedHyperlink"/>
    <w:basedOn w:val="DefaultParagraphFont"/>
    <w:uiPriority w:val="99"/>
    <w:semiHidden/>
    <w:unhideWhenUsed/>
    <w:rsid w:val="007C35D6"/>
    <w:rPr>
      <w:color w:val="800080" w:themeColor="followedHyperlink"/>
      <w:u w:val="single"/>
    </w:rPr>
  </w:style>
  <w:style w:type="paragraph" w:styleId="Header">
    <w:name w:val="header"/>
    <w:basedOn w:val="Normal"/>
    <w:link w:val="HeaderChar"/>
    <w:uiPriority w:val="99"/>
    <w:unhideWhenUsed/>
    <w:rsid w:val="00946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34F"/>
  </w:style>
  <w:style w:type="paragraph" w:styleId="Footer">
    <w:name w:val="footer"/>
    <w:basedOn w:val="Normal"/>
    <w:link w:val="FooterChar"/>
    <w:uiPriority w:val="99"/>
    <w:unhideWhenUsed/>
    <w:rsid w:val="00946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34F"/>
  </w:style>
  <w:style w:type="character" w:styleId="CommentReference">
    <w:name w:val="annotation reference"/>
    <w:basedOn w:val="DefaultParagraphFont"/>
    <w:uiPriority w:val="99"/>
    <w:semiHidden/>
    <w:unhideWhenUsed/>
    <w:rsid w:val="00B850B1"/>
    <w:rPr>
      <w:sz w:val="16"/>
      <w:szCs w:val="16"/>
    </w:rPr>
  </w:style>
  <w:style w:type="paragraph" w:styleId="CommentText">
    <w:name w:val="annotation text"/>
    <w:basedOn w:val="Normal"/>
    <w:link w:val="CommentTextChar"/>
    <w:uiPriority w:val="99"/>
    <w:semiHidden/>
    <w:unhideWhenUsed/>
    <w:rsid w:val="00B850B1"/>
    <w:pPr>
      <w:spacing w:line="240" w:lineRule="auto"/>
    </w:pPr>
    <w:rPr>
      <w:sz w:val="20"/>
      <w:szCs w:val="20"/>
    </w:rPr>
  </w:style>
  <w:style w:type="character" w:customStyle="1" w:styleId="CommentTextChar">
    <w:name w:val="Comment Text Char"/>
    <w:basedOn w:val="DefaultParagraphFont"/>
    <w:link w:val="CommentText"/>
    <w:uiPriority w:val="99"/>
    <w:semiHidden/>
    <w:rsid w:val="00B850B1"/>
    <w:rPr>
      <w:sz w:val="20"/>
      <w:szCs w:val="20"/>
    </w:rPr>
  </w:style>
  <w:style w:type="paragraph" w:styleId="CommentSubject">
    <w:name w:val="annotation subject"/>
    <w:basedOn w:val="CommentText"/>
    <w:next w:val="CommentText"/>
    <w:link w:val="CommentSubjectChar"/>
    <w:uiPriority w:val="99"/>
    <w:semiHidden/>
    <w:unhideWhenUsed/>
    <w:rsid w:val="00B850B1"/>
    <w:rPr>
      <w:b/>
      <w:bCs/>
    </w:rPr>
  </w:style>
  <w:style w:type="character" w:customStyle="1" w:styleId="CommentSubjectChar">
    <w:name w:val="Comment Subject Char"/>
    <w:basedOn w:val="CommentTextChar"/>
    <w:link w:val="CommentSubject"/>
    <w:uiPriority w:val="99"/>
    <w:semiHidden/>
    <w:rsid w:val="00B850B1"/>
    <w:rPr>
      <w:b/>
      <w:bCs/>
      <w:sz w:val="20"/>
      <w:szCs w:val="20"/>
    </w:rPr>
  </w:style>
  <w:style w:type="paragraph" w:styleId="Revision">
    <w:name w:val="Revision"/>
    <w:hidden/>
    <w:uiPriority w:val="99"/>
    <w:semiHidden/>
    <w:rsid w:val="00E23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49217">
      <w:bodyDiv w:val="1"/>
      <w:marLeft w:val="0"/>
      <w:marRight w:val="0"/>
      <w:marTop w:val="0"/>
      <w:marBottom w:val="0"/>
      <w:divBdr>
        <w:top w:val="none" w:sz="0" w:space="0" w:color="auto"/>
        <w:left w:val="none" w:sz="0" w:space="0" w:color="auto"/>
        <w:bottom w:val="none" w:sz="0" w:space="0" w:color="auto"/>
        <w:right w:val="none" w:sz="0" w:space="0" w:color="auto"/>
      </w:divBdr>
      <w:divsChild>
        <w:div w:id="1273974253">
          <w:marLeft w:val="0"/>
          <w:marRight w:val="0"/>
          <w:marTop w:val="0"/>
          <w:marBottom w:val="0"/>
          <w:divBdr>
            <w:top w:val="none" w:sz="0" w:space="0" w:color="auto"/>
            <w:left w:val="none" w:sz="0" w:space="0" w:color="auto"/>
            <w:bottom w:val="none" w:sz="0" w:space="0" w:color="auto"/>
            <w:right w:val="none" w:sz="0" w:space="0" w:color="auto"/>
          </w:divBdr>
        </w:div>
      </w:divsChild>
    </w:div>
    <w:div w:id="1606766688">
      <w:bodyDiv w:val="1"/>
      <w:marLeft w:val="0"/>
      <w:marRight w:val="0"/>
      <w:marTop w:val="0"/>
      <w:marBottom w:val="0"/>
      <w:divBdr>
        <w:top w:val="none" w:sz="0" w:space="0" w:color="auto"/>
        <w:left w:val="none" w:sz="0" w:space="0" w:color="auto"/>
        <w:bottom w:val="none" w:sz="0" w:space="0" w:color="auto"/>
        <w:right w:val="none" w:sz="0" w:space="0" w:color="auto"/>
      </w:divBdr>
    </w:div>
    <w:div w:id="19187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s-joint-committee.europa.eu/Publications/Technical%20Standards/JC%202017%2049%20(PRIIPs_QA_update_July_201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esibu-akti/vispareja/es-normativie-akti/es-regulas/6467-2017-c-218-02-komisijas-pazinojums-pamatnostadnes-attieciba-uz-eiropas-parlamenta-un-padomes-regulas-es-nr-1286-2014-par-komplektetu-privato-ieguldijumu-un-apdrosinasanas-ieguldijumu-produktu-priip-pamatinformacijas-dokumentiem-piemerosanu-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9F98-5D16-4386-B012-33A89C5A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7400</Words>
  <Characters>4218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 Karpova</dc:creator>
  <cp:lastModifiedBy>Dace Jansone</cp:lastModifiedBy>
  <cp:revision>2</cp:revision>
  <dcterms:created xsi:type="dcterms:W3CDTF">2019-01-17T11:31:00Z</dcterms:created>
  <dcterms:modified xsi:type="dcterms:W3CDTF">2019-01-17T11:31:00Z</dcterms:modified>
</cp:coreProperties>
</file>